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28"/>
          <w:szCs w:val="28"/>
        </w:rPr>
        <w:t>邵阳市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文旅广体育局</w:t>
      </w:r>
      <w:r>
        <w:rPr>
          <w:rFonts w:hint="eastAsia" w:ascii="楷体" w:hAnsi="楷体" w:eastAsia="楷体" w:cs="楷体"/>
          <w:sz w:val="32"/>
          <w:szCs w:val="32"/>
        </w:rPr>
        <w:t>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填</w:t>
      </w:r>
      <w:r>
        <w:rPr>
          <w:rFonts w:hint="eastAsia" w:ascii="楷体" w:hAnsi="楷体" w:eastAsia="楷体" w:cs="楷体"/>
          <w:sz w:val="32"/>
          <w:szCs w:val="32"/>
        </w:rPr>
        <w:t>报日期：</w:t>
      </w:r>
      <w:r>
        <w:rPr>
          <w:rFonts w:hint="eastAsia"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 xml:space="preserve">年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15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农家书屋监管经费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定期对农家书屋管理员进行业务指导和培训，定期组织对农家书屋管理情况进行考评。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邵阳市文旅广体局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郑小娟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中共湖南省委办公厅、湖南省人民政府办公厅《关于加强农家书屋管理的意见》（湘办[2013]22号）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农家书屋工程是国家实施的农村公共文化惠民工程，是保障农民群众基本文化权益的民生工程，是建设社会议义新农村的基础工程。加强农家书屋管理，是发挥农家书屋应有作用、社会效益的关键。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针对农家书屋免费开放和管理起到绝对性作用，让农家书屋在各村起到最大的作用。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中共湖南省委办公厅、湖南省人民政府办公厅《关于加强农家书屋管理的意见》（湘办[2013]22号）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进一步管好用好农家书屋，丰富和拓展农家书屋在公共文化服务方面的功能和作用，培训农民群众爱读书、读好书的健康情趣，满足农民群众学习求知、读书致富的愿望，将农家书屋建成服务内容丰富、服务形式多样、服务效果明显的农村公共文化服务综合平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专项资金管理制度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全市共5565家农家书屋，抽查20%，图书配送达标率达到70%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农家书屋遍布广、内容丰富，现已经取得了良好的社会效益，监管主要是对这些农家书屋是否起到了真下意义上的为民服务。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280" w:firstLineChars="100"/>
              <w:rPr>
                <w:rFonts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综合分析评论结果为：有效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本主管部门按照项目资金分配的基本原则、程序和方法，进行分配，按程序进行项目申报，并实行公开申报；部门对项目进行严格审核审核，结果实行公示。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部门本次绩效自评严格按照《邵阳市财政局关于开展201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年专项资金支出及已完工项目绩效自评工作的通知》组织实施。  说明：反映主管部门本次绩效自评的组织实施情况。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A400DB1"/>
    <w:rsid w:val="0F811861"/>
    <w:rsid w:val="17036DE5"/>
    <w:rsid w:val="2D4D2C8C"/>
    <w:rsid w:val="2FAF249E"/>
    <w:rsid w:val="306F7BE2"/>
    <w:rsid w:val="31E706E7"/>
    <w:rsid w:val="330B5B4F"/>
    <w:rsid w:val="3790261F"/>
    <w:rsid w:val="37E94CEE"/>
    <w:rsid w:val="38B34B32"/>
    <w:rsid w:val="38F53ECF"/>
    <w:rsid w:val="3BE82249"/>
    <w:rsid w:val="4C9C51D7"/>
    <w:rsid w:val="4DD01F2C"/>
    <w:rsid w:val="4E055C01"/>
    <w:rsid w:val="596B393A"/>
    <w:rsid w:val="5CF53A3C"/>
    <w:rsid w:val="61773296"/>
    <w:rsid w:val="630A642E"/>
    <w:rsid w:val="654A4C44"/>
    <w:rsid w:val="68851984"/>
    <w:rsid w:val="705A49A7"/>
    <w:rsid w:val="77E25966"/>
    <w:rsid w:val="795906D8"/>
    <w:rsid w:val="7B9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0</TotalTime>
  <ScaleCrop>false</ScaleCrop>
  <LinksUpToDate>false</LinksUpToDate>
  <CharactersWithSpaces>6002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dcterms:modified xsi:type="dcterms:W3CDTF">2020-06-18T02:42:11Z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