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ascii="楷体" w:hAnsi="楷体" w:eastAsia="楷体" w:cs="楷体"/>
          <w:sz w:val="32"/>
          <w:szCs w:val="32"/>
        </w:rPr>
      </w:pPr>
      <w:r>
        <w:rPr>
          <w:rFonts w:hint="eastAsia" w:ascii="楷体" w:hAnsi="楷体" w:eastAsia="楷体" w:cs="楷体"/>
          <w:sz w:val="32"/>
          <w:szCs w:val="32"/>
        </w:rPr>
        <w:t>填报部门：</w:t>
      </w:r>
      <w:r>
        <w:rPr>
          <w:rFonts w:hint="eastAsia" w:ascii="楷体" w:hAnsi="楷体" w:eastAsia="楷体" w:cs="楷体"/>
          <w:sz w:val="28"/>
          <w:szCs w:val="28"/>
        </w:rPr>
        <w:t>邵阳市</w:t>
      </w:r>
      <w:r>
        <w:rPr>
          <w:rFonts w:hint="eastAsia" w:ascii="楷体" w:hAnsi="楷体" w:eastAsia="楷体" w:cs="楷体"/>
          <w:sz w:val="28"/>
          <w:szCs w:val="28"/>
          <w:lang w:eastAsia="zh-CN"/>
        </w:rPr>
        <w:t>文旅广体育局</w:t>
      </w:r>
      <w:r>
        <w:rPr>
          <w:rFonts w:hint="eastAsia" w:ascii="楷体" w:hAnsi="楷体" w:eastAsia="楷体" w:cs="楷体"/>
          <w:sz w:val="32"/>
          <w:szCs w:val="32"/>
        </w:rPr>
        <w:t>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填</w:t>
      </w:r>
      <w:r>
        <w:rPr>
          <w:rFonts w:hint="eastAsia" w:ascii="楷体" w:hAnsi="楷体" w:eastAsia="楷体" w:cs="楷体"/>
          <w:sz w:val="32"/>
          <w:szCs w:val="32"/>
        </w:rPr>
        <w:t>报日期：</w:t>
      </w:r>
      <w:r>
        <w:rPr>
          <w:rFonts w:hint="eastAsia" w:ascii="楷体" w:hAnsi="楷体" w:eastAsia="楷体" w:cs="楷体"/>
          <w:sz w:val="28"/>
          <w:szCs w:val="28"/>
        </w:rPr>
        <w:t>20</w:t>
      </w:r>
      <w:r>
        <w:rPr>
          <w:rFonts w:hint="eastAsia" w:ascii="楷体" w:hAnsi="楷体" w:eastAsia="楷体" w:cs="楷体"/>
          <w:sz w:val="28"/>
          <w:szCs w:val="28"/>
          <w:lang w:val="en-US" w:eastAsia="zh-CN"/>
        </w:rPr>
        <w:t>20</w:t>
      </w:r>
      <w:r>
        <w:rPr>
          <w:rFonts w:hint="eastAsia" w:ascii="楷体" w:hAnsi="楷体" w:eastAsia="楷体" w:cs="楷体"/>
          <w:sz w:val="28"/>
          <w:szCs w:val="28"/>
        </w:rPr>
        <w:t xml:space="preserve">年 </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18</w:t>
      </w:r>
      <w:r>
        <w:rPr>
          <w:rFonts w:hint="eastAsia" w:ascii="楷体" w:hAnsi="楷体" w:eastAsia="楷体" w:cs="楷体"/>
          <w:sz w:val="28"/>
          <w:szCs w:val="28"/>
        </w:rPr>
        <w:t>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both"/>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vAlign w:val="top"/>
          </w:tcPr>
          <w:p>
            <w:pPr>
              <w:spacing w:line="540" w:lineRule="exact"/>
              <w:jc w:val="left"/>
              <w:rPr>
                <w:rFonts w:hint="eastAsia" w:ascii="楷体" w:hAnsi="楷体" w:eastAsia="楷体" w:cs="楷体"/>
                <w:sz w:val="28"/>
                <w:lang w:eastAsia="zh-CN"/>
              </w:rPr>
            </w:pPr>
            <w:r>
              <w:rPr>
                <w:rFonts w:hint="eastAsia" w:ascii="楷体" w:hAnsi="楷体" w:eastAsia="楷体" w:cs="楷体"/>
                <w:sz w:val="28"/>
                <w:szCs w:val="28"/>
              </w:rPr>
              <w:t>2019年度周末剧场</w:t>
            </w:r>
            <w:r>
              <w:rPr>
                <w:rFonts w:hint="eastAsia" w:ascii="楷体" w:hAnsi="楷体" w:eastAsia="楷体" w:cs="楷体"/>
                <w:sz w:val="28"/>
                <w:szCs w:val="28"/>
                <w:lang w:eastAsia="zh-CN"/>
              </w:rPr>
              <w:t>（湖南省祁剧保护传承中心）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vAlign w:val="top"/>
          </w:tcPr>
          <w:p>
            <w:pPr>
              <w:spacing w:line="540" w:lineRule="exact"/>
              <w:ind w:firstLine="140" w:firstLineChars="50"/>
              <w:jc w:val="left"/>
              <w:rPr>
                <w:rFonts w:ascii="楷体" w:hAnsi="楷体" w:eastAsia="楷体" w:cs="楷体"/>
                <w:sz w:val="28"/>
              </w:rPr>
            </w:pPr>
            <w:r>
              <w:rPr>
                <w:rFonts w:hint="eastAsia" w:ascii="楷体" w:hAnsi="楷体" w:eastAsia="楷体" w:cs="楷体"/>
                <w:sz w:val="28"/>
                <w:szCs w:val="28"/>
              </w:rPr>
              <w:t>2019年度周末剧场演出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szCs w:val="28"/>
              </w:rPr>
              <w:t>邵阳市</w:t>
            </w:r>
            <w:r>
              <w:rPr>
                <w:rFonts w:hint="eastAsia" w:ascii="楷体" w:hAnsi="楷体" w:eastAsia="楷体" w:cs="楷体"/>
                <w:sz w:val="28"/>
                <w:szCs w:val="28"/>
                <w:lang w:eastAsia="zh-CN"/>
              </w:rPr>
              <w:t>文旅广体育局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lang w:eastAsia="zh-CN"/>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ascii="楷体" w:hAnsi="楷体" w:eastAsia="楷体" w:cs="楷体"/>
                <w:sz w:val="28"/>
              </w:rPr>
            </w:pPr>
            <w:r>
              <w:rPr>
                <w:rFonts w:hint="eastAsia" w:ascii="楷体" w:hAnsi="楷体" w:eastAsia="楷体" w:cs="楷体"/>
                <w:sz w:val="28"/>
                <w:lang w:eastAsia="zh-CN"/>
              </w:rPr>
              <w:t>舒年新</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w:t>
            </w:r>
            <w:r>
              <w:rPr>
                <w:rFonts w:hint="eastAsia" w:ascii="楷体" w:hAnsi="楷体" w:eastAsia="楷体" w:cs="楷体"/>
                <w:sz w:val="24"/>
                <w:lang w:val="en-US" w:eastAsia="zh-CN"/>
              </w:rPr>
              <w:t>24</w:t>
            </w:r>
            <w:r>
              <w:rPr>
                <w:rFonts w:hint="eastAsia" w:ascii="楷体" w:hAnsi="楷体" w:eastAsia="楷体" w:cs="楷体"/>
                <w:sz w:val="24"/>
              </w:rPr>
              <w:t>万元，其中：省级财政　　万元；市级财政</w:t>
            </w:r>
            <w:r>
              <w:rPr>
                <w:rFonts w:hint="eastAsia" w:ascii="楷体" w:hAnsi="楷体" w:eastAsia="楷体" w:cs="楷体"/>
                <w:sz w:val="24"/>
                <w:lang w:val="en-US" w:eastAsia="zh-CN"/>
              </w:rPr>
              <w:t>24</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2019</w:t>
            </w:r>
            <w:r>
              <w:rPr>
                <w:rFonts w:hint="eastAsia" w:ascii="楷体" w:hAnsi="楷体" w:eastAsia="楷体" w:cs="楷体"/>
                <w:sz w:val="28"/>
              </w:rPr>
              <w:t>年</w:t>
            </w:r>
            <w:r>
              <w:rPr>
                <w:rFonts w:hint="eastAsia" w:ascii="楷体" w:hAnsi="楷体" w:eastAsia="楷体" w:cs="楷体"/>
                <w:sz w:val="28"/>
                <w:lang w:val="en-US" w:eastAsia="zh-CN"/>
              </w:rPr>
              <w:t>1</w:t>
            </w:r>
            <w:r>
              <w:rPr>
                <w:rFonts w:hint="eastAsia" w:ascii="楷体" w:hAnsi="楷体" w:eastAsia="楷体" w:cs="楷体"/>
                <w:sz w:val="28"/>
              </w:rPr>
              <w:t>月起至</w:t>
            </w:r>
            <w:r>
              <w:rPr>
                <w:rFonts w:hint="eastAsia" w:ascii="楷体" w:hAnsi="楷体" w:eastAsia="楷体" w:cs="楷体"/>
                <w:sz w:val="28"/>
                <w:lang w:val="en-US" w:eastAsia="zh-CN"/>
              </w:rPr>
              <w:t>2019</w:t>
            </w:r>
            <w:r>
              <w:rPr>
                <w:rFonts w:hint="eastAsia" w:ascii="楷体" w:hAnsi="楷体" w:eastAsia="楷体" w:cs="楷体"/>
                <w:sz w:val="28"/>
              </w:rPr>
              <w:t>年</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8"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楷体" w:hAnsi="楷体" w:eastAsia="楷体" w:cs="楷体"/>
                <w:kern w:val="2"/>
                <w:sz w:val="24"/>
                <w:szCs w:val="24"/>
                <w:lang w:val="en-US" w:eastAsia="zh-CN" w:bidi="ar-SA"/>
              </w:rPr>
            </w:pPr>
            <w:r>
              <w:rPr>
                <w:rFonts w:hint="eastAsia" w:ascii="仿宋_GB2312" w:hAnsi="仿宋_GB2312" w:eastAsia="仿宋_GB2312" w:cs="仿宋_GB2312"/>
                <w:sz w:val="24"/>
              </w:rPr>
              <w:t>根据省人民政府办公厅《省政府转发省文化厅等部门关于做好政府向社会力量购买公共文化服务工作实施意见的通知》（湘政办发[2016]6号文件）和邵宣通[2014]5号文件精神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vAlign w:val="top"/>
          </w:tcPr>
          <w:p>
            <w:pPr>
              <w:spacing w:line="560" w:lineRule="exact"/>
              <w:jc w:val="left"/>
              <w:rPr>
                <w:rFonts w:hint="eastAsia" w:ascii="楷体" w:hAnsi="楷体" w:eastAsia="楷体" w:cs="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vAlign w:val="top"/>
          </w:tcPr>
          <w:p>
            <w:pPr>
              <w:spacing w:line="560" w:lineRule="exact"/>
              <w:jc w:val="left"/>
              <w:rPr>
                <w:rFonts w:hint="eastAsia" w:ascii="楷体" w:hAnsi="楷体" w:eastAsia="楷体" w:cs="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sym w:font="Wingdings 2" w:char="00A3"/>
            </w:r>
            <w:r>
              <w:rPr>
                <w:rFonts w:hint="eastAsia" w:ascii="楷体" w:hAnsi="楷体" w:eastAsia="楷体" w:cs="楷体"/>
                <w:sz w:val="28"/>
              </w:rPr>
              <w:t xml:space="preserve">是　                    </w:t>
            </w:r>
            <w:r>
              <w:rPr>
                <w:rFonts w:hint="eastAsia" w:ascii="楷体" w:hAnsi="楷体" w:eastAsia="楷体" w:cs="楷体"/>
                <w:sz w:val="28"/>
              </w:rPr>
              <w:sym w:font="Wingdings 2" w:char="0052"/>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sym w:font="Wingdings 2" w:char="00A3"/>
            </w: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w:t>
            </w:r>
            <w:r>
              <w:rPr>
                <w:rFonts w:hint="eastAsia" w:ascii="楷体" w:hAnsi="楷体" w:eastAsia="楷体" w:cs="楷体"/>
                <w:sz w:val="24"/>
              </w:rPr>
              <w:sym w:font="Wingdings 2" w:char="00A3"/>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 xml:space="preserve">是  实行的   个项目　 </w:t>
            </w:r>
            <w:r>
              <w:rPr>
                <w:rFonts w:hint="eastAsia" w:ascii="楷体" w:hAnsi="楷体" w:eastAsia="楷体" w:cs="楷体"/>
                <w:sz w:val="24"/>
              </w:rPr>
              <w:sym w:font="Wingdings 2" w:char="00A3"/>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8"/>
                <w:szCs w:val="28"/>
              </w:rPr>
              <w:t>根据文旅局艺术科制订的周末剧场演出管理办法进行演出管理。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楷体" w:hAnsi="楷体" w:eastAsia="楷体" w:cs="楷体"/>
                <w:kern w:val="2"/>
                <w:sz w:val="24"/>
                <w:szCs w:val="24"/>
                <w:lang w:val="en-US" w:eastAsia="zh-CN" w:bidi="ar-SA"/>
              </w:rPr>
            </w:pPr>
            <w:r>
              <w:rPr>
                <w:rFonts w:hint="eastAsia" w:ascii="楷体" w:hAnsi="楷体" w:eastAsia="楷体" w:cs="仿宋_GB2312"/>
                <w:sz w:val="28"/>
                <w:szCs w:val="28"/>
              </w:rPr>
              <w:t>全年要演出不低于24场演出，每场时长90分钟以上，在局门户网站、局微信平台公布演出剧目及简介，每年需撰写三篇剧评在报纸上发表。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8"/>
                <w:szCs w:val="28"/>
              </w:rPr>
              <w:t>演出时间如有调整，需向主管部门提出书面申请，由文旅局主管领导批准。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8"/>
                <w:szCs w:val="28"/>
              </w:rPr>
              <w:t>项目完成</w:t>
            </w:r>
            <w:r>
              <w:rPr>
                <w:rFonts w:hint="eastAsia" w:ascii="楷体" w:hAnsi="楷体" w:eastAsia="楷体" w:cs="楷体"/>
                <w:sz w:val="28"/>
                <w:szCs w:val="28"/>
                <w:lang w:eastAsia="zh-CN"/>
              </w:rPr>
              <w:t>后由</w:t>
            </w:r>
            <w:r>
              <w:rPr>
                <w:rFonts w:hint="eastAsia" w:ascii="楷体" w:hAnsi="楷体" w:eastAsia="楷体" w:cs="楷体"/>
                <w:sz w:val="28"/>
                <w:szCs w:val="28"/>
              </w:rPr>
              <w:t>文旅局艺术科交演出日志，包括剧照，演出日期以及观众到场情况。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szCs w:val="28"/>
              </w:rPr>
            </w:pPr>
            <w:r>
              <w:rPr>
                <w:rFonts w:hint="eastAsia" w:ascii="楷体" w:hAnsi="楷体" w:eastAsia="楷体" w:cs="楷体"/>
                <w:sz w:val="28"/>
                <w:szCs w:val="28"/>
                <w:lang w:eastAsia="zh-CN"/>
              </w:rPr>
              <w:t>无</w:t>
            </w:r>
            <w:r>
              <w:rPr>
                <w:rFonts w:hint="eastAsia" w:ascii="楷体" w:hAnsi="楷体" w:eastAsia="楷体" w:cs="楷体"/>
                <w:sz w:val="28"/>
                <w:szCs w:val="28"/>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szCs w:val="28"/>
              </w:rPr>
            </w:pPr>
            <w:r>
              <w:rPr>
                <w:rFonts w:hint="eastAsia" w:ascii="楷体" w:hAnsi="楷体" w:eastAsia="楷体" w:cs="楷体"/>
                <w:sz w:val="28"/>
                <w:szCs w:val="28"/>
              </w:rPr>
              <w:t>严格按照国家投资项目资金运行管理办法的规定执行，实行专人管理、专户储存、专帐核算、严格财政纪律、加强对项目资金的监督力度，按照项目计划和施工进度，投放资金，确保资金的专款专用。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930" w:type="dxa"/>
            <w:gridSpan w:val="2"/>
            <w:tcBorders>
              <w:bottom w:val="single" w:color="auto" w:sz="4" w:space="0"/>
            </w:tcBorders>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80" w:type="dxa"/>
            <w:gridSpan w:val="2"/>
            <w:tcBorders>
              <w:bottom w:val="single" w:color="auto" w:sz="4" w:space="0"/>
            </w:tcBorders>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70" w:type="dxa"/>
            <w:tcBorders>
              <w:bottom w:val="single" w:color="auto" w:sz="4" w:space="0"/>
            </w:tcBorders>
            <w:vAlign w:val="center"/>
          </w:tcPr>
          <w:p>
            <w:pPr>
              <w:jc w:val="center"/>
              <w:rPr>
                <w:rFonts w:ascii="楷体" w:hAnsi="楷体" w:eastAsia="楷体" w:cs="楷体"/>
                <w:sz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kern w:val="2"/>
                <w:sz w:val="28"/>
                <w:szCs w:val="24"/>
                <w:lang w:val="en-US" w:eastAsia="zh-CN" w:bidi="ar-SA"/>
              </w:rPr>
            </w:pPr>
          </w:p>
        </w:tc>
        <w:tc>
          <w:tcPr>
            <w:tcW w:w="1930" w:type="dxa"/>
            <w:gridSpan w:val="2"/>
            <w:tcBorders>
              <w:top w:val="single" w:color="auto" w:sz="4" w:space="0"/>
            </w:tcBorders>
            <w:vAlign w:val="center"/>
          </w:tcPr>
          <w:p>
            <w:pPr>
              <w:spacing w:line="560" w:lineRule="exact"/>
              <w:jc w:val="center"/>
              <w:rPr>
                <w:rFonts w:ascii="楷体" w:hAnsi="楷体" w:eastAsia="楷体" w:cs="楷体"/>
                <w:kern w:val="2"/>
                <w:sz w:val="28"/>
                <w:szCs w:val="24"/>
                <w:lang w:val="en-US" w:eastAsia="zh-CN" w:bidi="ar-SA"/>
              </w:rPr>
            </w:pPr>
          </w:p>
        </w:tc>
        <w:tc>
          <w:tcPr>
            <w:tcW w:w="1380" w:type="dxa"/>
            <w:gridSpan w:val="2"/>
            <w:tcBorders>
              <w:top w:val="single" w:color="auto" w:sz="4" w:space="0"/>
            </w:tcBorders>
            <w:vAlign w:val="center"/>
          </w:tcPr>
          <w:p>
            <w:pPr>
              <w:spacing w:line="560" w:lineRule="exact"/>
              <w:jc w:val="center"/>
              <w:rPr>
                <w:rFonts w:ascii="楷体" w:hAnsi="楷体" w:eastAsia="楷体" w:cs="楷体"/>
                <w:kern w:val="2"/>
                <w:sz w:val="28"/>
                <w:szCs w:val="24"/>
                <w:lang w:val="en-US" w:eastAsia="zh-CN" w:bidi="ar-SA"/>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kern w:val="2"/>
                <w:sz w:val="28"/>
                <w:szCs w:val="24"/>
                <w:lang w:val="en-US" w:eastAsia="zh-CN" w:bidi="ar-SA"/>
              </w:rPr>
            </w:pPr>
          </w:p>
        </w:tc>
        <w:tc>
          <w:tcPr>
            <w:tcW w:w="1930" w:type="dxa"/>
            <w:gridSpan w:val="2"/>
            <w:vAlign w:val="center"/>
          </w:tcPr>
          <w:p>
            <w:pPr>
              <w:spacing w:line="560" w:lineRule="exact"/>
              <w:jc w:val="center"/>
              <w:rPr>
                <w:rFonts w:ascii="楷体" w:hAnsi="楷体" w:eastAsia="楷体" w:cs="楷体"/>
                <w:kern w:val="2"/>
                <w:sz w:val="28"/>
                <w:szCs w:val="24"/>
                <w:lang w:val="en-US" w:eastAsia="zh-CN" w:bidi="ar-SA"/>
              </w:rPr>
            </w:pPr>
          </w:p>
        </w:tc>
        <w:tc>
          <w:tcPr>
            <w:tcW w:w="1380" w:type="dxa"/>
            <w:gridSpan w:val="2"/>
            <w:vAlign w:val="center"/>
          </w:tcPr>
          <w:p>
            <w:pPr>
              <w:spacing w:line="560" w:lineRule="exact"/>
              <w:jc w:val="center"/>
              <w:rPr>
                <w:rFonts w:ascii="楷体" w:hAnsi="楷体" w:eastAsia="楷体" w:cs="楷体"/>
                <w:kern w:val="2"/>
                <w:sz w:val="28"/>
                <w:szCs w:val="24"/>
                <w:lang w:val="en-US" w:eastAsia="zh-CN" w:bidi="ar-SA"/>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930" w:type="dxa"/>
            <w:gridSpan w:val="2"/>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80" w:type="dxa"/>
            <w:gridSpan w:val="2"/>
            <w:vAlign w:val="center"/>
          </w:tcPr>
          <w:p>
            <w:pPr>
              <w:jc w:val="center"/>
              <w:rPr>
                <w:rFonts w:hint="default" w:ascii="楷体" w:hAnsi="楷体" w:eastAsia="楷体" w:cs="楷体"/>
                <w:kern w:val="2"/>
                <w:sz w:val="28"/>
                <w:szCs w:val="24"/>
                <w:lang w:val="en-US" w:eastAsia="zh-CN" w:bidi="ar-SA"/>
              </w:rPr>
            </w:pPr>
            <w:r>
              <w:rPr>
                <w:rFonts w:hint="eastAsia" w:ascii="楷体" w:hAnsi="楷体" w:eastAsia="楷体" w:cs="楷体"/>
                <w:sz w:val="28"/>
                <w:szCs w:val="28"/>
                <w:lang w:val="en-US" w:eastAsia="zh-CN"/>
              </w:rPr>
              <w:t>24</w:t>
            </w:r>
          </w:p>
        </w:tc>
        <w:tc>
          <w:tcPr>
            <w:tcW w:w="1370" w:type="dxa"/>
            <w:vAlign w:val="center"/>
          </w:tcPr>
          <w:p>
            <w:pPr>
              <w:jc w:val="center"/>
              <w:rPr>
                <w:rFonts w:ascii="楷体" w:hAnsi="楷体" w:eastAsia="楷体" w:cs="楷体"/>
                <w:sz w:val="28"/>
              </w:rPr>
            </w:pPr>
            <w:r>
              <w:rPr>
                <w:rFonts w:hint="eastAsia" w:ascii="楷体" w:hAnsi="楷体" w:eastAsia="楷体" w:cs="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vAlign w:val="top"/>
          </w:tcPr>
          <w:p>
            <w:pPr>
              <w:rPr>
                <w:rFonts w:hint="default" w:ascii="楷体" w:hAnsi="楷体" w:eastAsia="楷体" w:cs="楷体"/>
                <w:kern w:val="2"/>
                <w:sz w:val="30"/>
                <w:szCs w:val="30"/>
                <w:lang w:val="en-US" w:eastAsia="zh-CN" w:bidi="ar-SA"/>
              </w:rPr>
            </w:pPr>
            <w:r>
              <w:rPr>
                <w:rFonts w:hint="eastAsia" w:ascii="楷体" w:hAnsi="楷体" w:eastAsia="楷体" w:cs="楷体"/>
                <w:sz w:val="28"/>
                <w:szCs w:val="28"/>
              </w:rPr>
              <w:t>通过每年的24场周末剧场演出，使我中心青年演员增加了舞台经验，加深了对传统剧目的了解。同时，为了给观众展示不同的祁剧精品剧目，我中心每年挖掘排练大型传统剧目3个以上。周边群众也形成了周末一定会和家人来剧院欣赏祁剧的习惯。使我们的非遗保护变成动态保护，发挥更大的社会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3"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kern w:val="2"/>
                <w:sz w:val="30"/>
                <w:szCs w:val="30"/>
                <w:lang w:val="en-US" w:eastAsia="zh-CN" w:bidi="ar-SA"/>
              </w:rPr>
            </w:pPr>
            <w:r>
              <w:rPr>
                <w:rFonts w:hint="eastAsia" w:ascii="楷体" w:hAnsi="楷体" w:eastAsia="楷体" w:cs="楷体"/>
                <w:sz w:val="28"/>
                <w:szCs w:val="28"/>
              </w:rPr>
              <w:t>通过演出来弘扬我们民族的优秀传统文化，实际上就是从我们民族世世代代形成积累的优秀传统文化中吸取营养和智慧，延续文化基因，萃取思想精华，展现精神魅力，以时代精神激活传统文化的生命力，让我们民族的精神成为我们的民族自信，用传统文化助推中国梦，为邵阳的创文助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9"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vAlign w:val="top"/>
          </w:tcPr>
          <w:p>
            <w:pPr>
              <w:rPr>
                <w:rFonts w:hint="eastAsia" w:ascii="楷体" w:hAnsi="楷体" w:eastAsia="楷体" w:cs="楷体"/>
                <w:kern w:val="2"/>
                <w:sz w:val="30"/>
                <w:szCs w:val="30"/>
                <w:lang w:val="en-US" w:eastAsia="zh-CN" w:bidi="ar-SA"/>
              </w:rPr>
            </w:pPr>
            <w:r>
              <w:rPr>
                <w:rFonts w:hint="eastAsia" w:ascii="楷体" w:hAnsi="楷体" w:eastAsia="楷体" w:cs="楷体"/>
                <w:sz w:val="28"/>
                <w:szCs w:val="28"/>
              </w:rPr>
              <w:t>从我中心传统剧目的传承情况，到青年演员的成长，以及观看周末剧场的观众留言等等，证明周末剧场是一个锻炼演员和非遗传承的好平台，同时对弘扬民族文化与丰富群众文化生活具有十分重要的作用和意义，周末剧场非常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4"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vAlign w:val="top"/>
          </w:tcPr>
          <w:p>
            <w:pPr>
              <w:rPr>
                <w:rFonts w:ascii="楷体" w:hAnsi="楷体" w:eastAsia="楷体" w:cs="楷体"/>
                <w:sz w:val="30"/>
                <w:szCs w:val="30"/>
              </w:rPr>
            </w:pPr>
          </w:p>
          <w:p>
            <w:pPr>
              <w:rPr>
                <w:rFonts w:ascii="楷体" w:hAnsi="楷体" w:eastAsia="楷体" w:cs="楷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4"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vAlign w:val="top"/>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28"/>
                <w:szCs w:val="28"/>
              </w:rPr>
              <w:t>本</w:t>
            </w:r>
            <w:r>
              <w:rPr>
                <w:rFonts w:hint="eastAsia" w:ascii="楷体" w:hAnsi="楷体" w:eastAsia="楷体" w:cs="楷体"/>
                <w:sz w:val="30"/>
                <w:szCs w:val="30"/>
              </w:rPr>
              <w:t>部门本次绩效自评严格按照《邵阳市财政局关于开展</w:t>
            </w:r>
            <w:r>
              <w:rPr>
                <w:rFonts w:hint="eastAsia" w:ascii="楷体" w:hAnsi="楷体" w:eastAsia="楷体" w:cs="楷体"/>
                <w:sz w:val="30"/>
                <w:szCs w:val="30"/>
                <w:lang w:eastAsia="zh-CN"/>
              </w:rPr>
              <w:t>2019</w:t>
            </w:r>
            <w:r>
              <w:rPr>
                <w:rFonts w:hint="eastAsia" w:ascii="楷体" w:hAnsi="楷体" w:eastAsia="楷体" w:cs="楷体"/>
                <w:sz w:val="30"/>
                <w:szCs w:val="30"/>
              </w:rPr>
              <w:t>年</w:t>
            </w:r>
            <w:r>
              <w:rPr>
                <w:rFonts w:hint="eastAsia" w:ascii="楷体" w:hAnsi="楷体" w:eastAsia="楷体" w:cs="楷体"/>
                <w:sz w:val="30"/>
                <w:szCs w:val="30"/>
                <w:lang w:eastAsia="zh-CN"/>
              </w:rPr>
              <w:t>度</w:t>
            </w:r>
            <w:r>
              <w:rPr>
                <w:rFonts w:hint="eastAsia" w:ascii="楷体" w:hAnsi="楷体" w:eastAsia="楷体" w:cs="楷体"/>
                <w:sz w:val="30"/>
                <w:szCs w:val="30"/>
              </w:rPr>
              <w:t>已完工项目绩效自评工作的通知》组织实施。。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r>
              <w:rPr>
                <w:rFonts w:hint="eastAsia" w:ascii="楷体" w:hAnsi="楷体" w:eastAsia="楷体" w:cs="楷体"/>
                <w:sz w:val="28"/>
                <w:szCs w:val="28"/>
              </w:rPr>
              <w:t>观众反应一年24场演出场次过少，没看过瘾活动就结束了，是否可以增加场次。为了保证演出的质量，剧院很多设备和服装都需要及时更换，每场1万元的演出费不够支付我中心对于“周末剧场”活动的支出，能否每场增加演出费。</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hint="eastAsia"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hint="eastAsia"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E66ED9"/>
    <w:rsid w:val="0A400DB1"/>
    <w:rsid w:val="0F811861"/>
    <w:rsid w:val="19BD098F"/>
    <w:rsid w:val="26AF2271"/>
    <w:rsid w:val="2D4D2C8C"/>
    <w:rsid w:val="329B6926"/>
    <w:rsid w:val="3790261F"/>
    <w:rsid w:val="37E94CEE"/>
    <w:rsid w:val="38B34B32"/>
    <w:rsid w:val="38F53ECF"/>
    <w:rsid w:val="41B00C8C"/>
    <w:rsid w:val="47D61972"/>
    <w:rsid w:val="4AEB6691"/>
    <w:rsid w:val="4C9C51D7"/>
    <w:rsid w:val="4DD01F2C"/>
    <w:rsid w:val="4E055C01"/>
    <w:rsid w:val="5543017A"/>
    <w:rsid w:val="596B393A"/>
    <w:rsid w:val="59787A65"/>
    <w:rsid w:val="5CF53A3C"/>
    <w:rsid w:val="61773296"/>
    <w:rsid w:val="630A642E"/>
    <w:rsid w:val="654A4C44"/>
    <w:rsid w:val="68851984"/>
    <w:rsid w:val="705A49A7"/>
    <w:rsid w:val="77E25966"/>
    <w:rsid w:val="7959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0</TotalTime>
  <ScaleCrop>false</ScaleCrop>
  <LinksUpToDate>false</LinksUpToDate>
  <CharactersWithSpaces>6002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Administrator</cp:lastModifiedBy>
  <dcterms:modified xsi:type="dcterms:W3CDTF">2020-06-22T00:48:43Z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