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ascii="黑体" w:eastAsia="黑体"/>
          <w:sz w:val="44"/>
          <w:szCs w:val="44"/>
        </w:rPr>
      </w:pPr>
      <w:r>
        <w:rPr>
          <w:rFonts w:hint="eastAsia" w:ascii="黑体" w:eastAsia="黑体"/>
          <w:sz w:val="44"/>
          <w:szCs w:val="44"/>
          <w:lang w:eastAsia="zh-CN"/>
        </w:rPr>
        <w:t>项目</w:t>
      </w:r>
      <w:r>
        <w:rPr>
          <w:rFonts w:hint="eastAsia" w:ascii="黑体" w:eastAsia="黑体"/>
          <w:sz w:val="44"/>
          <w:szCs w:val="44"/>
        </w:rPr>
        <w:t>支出绩效自评报告表</w:t>
      </w:r>
    </w:p>
    <w:p>
      <w:pPr>
        <w:jc w:val="center"/>
        <w:rPr>
          <w:rFonts w:ascii="楷体" w:hAnsi="楷体" w:eastAsia="楷体" w:cs="楷体"/>
          <w:sz w:val="32"/>
          <w:szCs w:val="32"/>
        </w:rPr>
      </w:pPr>
      <w:r>
        <w:rPr>
          <w:rFonts w:hint="eastAsia" w:ascii="楷体" w:hAnsi="楷体" w:eastAsia="楷体" w:cs="楷体"/>
          <w:sz w:val="32"/>
          <w:szCs w:val="32"/>
        </w:rPr>
        <w:t>（主管部门用）</w:t>
      </w:r>
    </w:p>
    <w:p>
      <w:pPr>
        <w:spacing w:line="360" w:lineRule="auto"/>
        <w:rPr>
          <w:rFonts w:hint="default" w:ascii="楷体" w:hAnsi="楷体" w:eastAsia="楷体" w:cs="楷体"/>
          <w:sz w:val="32"/>
          <w:szCs w:val="32"/>
          <w:lang w:val="en-US" w:eastAsia="zh-CN"/>
        </w:rPr>
      </w:pPr>
      <w:r>
        <w:rPr>
          <w:rFonts w:hint="eastAsia" w:ascii="楷体" w:hAnsi="楷体" w:eastAsia="楷体" w:cs="楷体"/>
          <w:sz w:val="32"/>
          <w:szCs w:val="32"/>
        </w:rPr>
        <w:t>填报部门：</w:t>
      </w:r>
      <w:r>
        <w:rPr>
          <w:rFonts w:hint="eastAsia" w:ascii="楷体" w:hAnsi="楷体" w:eastAsia="楷体" w:cs="楷体"/>
          <w:sz w:val="28"/>
          <w:szCs w:val="28"/>
        </w:rPr>
        <w:t>邵阳市</w:t>
      </w:r>
      <w:r>
        <w:rPr>
          <w:rFonts w:hint="eastAsia" w:ascii="楷体" w:hAnsi="楷体" w:eastAsia="楷体" w:cs="楷体"/>
          <w:sz w:val="28"/>
          <w:szCs w:val="28"/>
          <w:lang w:eastAsia="zh-CN"/>
        </w:rPr>
        <w:t>文旅广体局</w:t>
      </w:r>
      <w:r>
        <w:rPr>
          <w:rFonts w:hint="eastAsia" w:ascii="楷体" w:hAnsi="楷体" w:eastAsia="楷体" w:cs="楷体"/>
          <w:sz w:val="32"/>
          <w:szCs w:val="32"/>
        </w:rPr>
        <w:t>　　　填报日期：</w:t>
      </w:r>
      <w:r>
        <w:rPr>
          <w:rFonts w:hint="eastAsia" w:ascii="楷体" w:hAnsi="楷体" w:eastAsia="楷体" w:cs="楷体"/>
          <w:sz w:val="32"/>
          <w:szCs w:val="32"/>
          <w:lang w:val="en-US" w:eastAsia="zh-CN"/>
        </w:rPr>
        <w:t>2021年6月16日</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
        <w:gridCol w:w="2493"/>
        <w:gridCol w:w="1440"/>
        <w:gridCol w:w="715"/>
        <w:gridCol w:w="1215"/>
        <w:gridCol w:w="570"/>
        <w:gridCol w:w="8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trPr>
        <w:tc>
          <w:tcPr>
            <w:tcW w:w="540" w:type="dxa"/>
            <w:vMerge w:val="restart"/>
            <w:vAlign w:val="center"/>
          </w:tcPr>
          <w:p>
            <w:pPr>
              <w:spacing w:line="560" w:lineRule="exact"/>
              <w:jc w:val="center"/>
              <w:rPr>
                <w:rFonts w:ascii="楷体" w:hAnsi="楷体" w:eastAsia="楷体" w:cs="楷体"/>
                <w:sz w:val="28"/>
              </w:rPr>
            </w:pPr>
            <w:r>
              <w:rPr>
                <w:rFonts w:hint="eastAsia" w:ascii="楷体" w:hAnsi="楷体" w:eastAsia="楷体" w:cs="楷体"/>
                <w:sz w:val="28"/>
              </w:rPr>
              <w:t>基本情况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项目支出</w:t>
            </w:r>
            <w:r>
              <w:rPr>
                <w:rFonts w:hint="eastAsia" w:ascii="楷体" w:hAnsi="楷体" w:eastAsia="楷体" w:cs="楷体"/>
                <w:sz w:val="28"/>
              </w:rPr>
              <w:t>名称</w:t>
            </w:r>
          </w:p>
        </w:tc>
        <w:tc>
          <w:tcPr>
            <w:tcW w:w="6120" w:type="dxa"/>
            <w:gridSpan w:val="6"/>
          </w:tcPr>
          <w:p>
            <w:pPr>
              <w:spacing w:line="540" w:lineRule="exact"/>
              <w:jc w:val="both"/>
              <w:rPr>
                <w:rFonts w:hint="eastAsia" w:ascii="宋体" w:hAnsi="宋体" w:cs="宋体"/>
                <w:sz w:val="24"/>
                <w:szCs w:val="24"/>
                <w:lang w:eastAsia="zh-CN"/>
              </w:rPr>
            </w:pPr>
            <w:r>
              <w:rPr>
                <w:rFonts w:hint="eastAsia" w:ascii="宋体" w:hAnsi="宋体" w:cs="宋体"/>
                <w:sz w:val="24"/>
                <w:szCs w:val="24"/>
                <w:lang w:eastAsia="zh-CN"/>
              </w:rPr>
              <w:t>全市市级非遗人培训班</w:t>
            </w:r>
            <w:r>
              <w:rPr>
                <w:rFonts w:hint="eastAsia" w:ascii="宋体" w:hAnsi="宋体" w:cs="宋体"/>
                <w:sz w:val="24"/>
                <w:szCs w:val="24"/>
                <w:lang w:eastAsia="zh-CN"/>
              </w:rPr>
              <w:tab/>
            </w:r>
            <w:r>
              <w:rPr>
                <w:rFonts w:hint="eastAsia" w:ascii="宋体" w:hAnsi="宋体" w:cs="宋体"/>
                <w:sz w:val="24"/>
                <w:szCs w:val="24"/>
                <w:lang w:eastAsia="zh-CN"/>
              </w:rPr>
              <w:t>、全国文化和自然遗产日展会展示活动</w:t>
            </w:r>
          </w:p>
          <w:p>
            <w:pPr>
              <w:spacing w:line="540" w:lineRule="exact"/>
              <w:jc w:val="left"/>
              <w:rPr>
                <w:rFonts w:hint="eastAsia" w:ascii="楷体" w:hAnsi="楷体" w:eastAsia="楷体" w:cs="楷体"/>
                <w:sz w:val="28"/>
                <w:lang w:eastAsia="zh-CN"/>
              </w:rPr>
            </w:pPr>
            <w:r>
              <w:rPr>
                <w:rFonts w:hint="eastAsia" w:ascii="楷体" w:hAnsi="楷体" w:eastAsia="楷体" w:cs="楷体"/>
                <w:sz w:val="28"/>
                <w:lang w:eastAsia="zh-CN"/>
              </w:rPr>
              <w:t>全国文化和自然遗产日展会展示活动</w:t>
            </w:r>
          </w:p>
          <w:p>
            <w:pPr>
              <w:spacing w:line="540" w:lineRule="exact"/>
              <w:jc w:val="left"/>
              <w:rPr>
                <w:rFonts w:hint="eastAsia" w:ascii="楷体" w:hAnsi="楷体" w:eastAsia="楷体" w:cs="楷体"/>
                <w:sz w:val="28"/>
                <w:lang w:eastAsia="zh-CN"/>
              </w:rPr>
            </w:pPr>
            <w:r>
              <w:rPr>
                <w:rFonts w:hint="eastAsia" w:ascii="楷体" w:hAnsi="楷体" w:eastAsia="楷体" w:cs="楷体"/>
                <w:sz w:val="28"/>
                <w:lang w:eastAsia="zh-CN"/>
              </w:rPr>
              <w:t>全国文化和自然遗产日展会展示活动</w:t>
            </w:r>
          </w:p>
          <w:p>
            <w:pPr>
              <w:spacing w:line="540" w:lineRule="exact"/>
              <w:jc w:val="left"/>
              <w:rPr>
                <w:rFonts w:hint="eastAsia" w:ascii="楷体" w:hAnsi="楷体" w:eastAsia="楷体" w:cs="楷体"/>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540" w:lineRule="exact"/>
              <w:jc w:val="both"/>
              <w:rPr>
                <w:rFonts w:hint="eastAsia" w:ascii="宋体" w:hAnsi="宋体" w:cs="宋体"/>
                <w:sz w:val="24"/>
                <w:szCs w:val="24"/>
                <w:lang w:eastAsia="zh-CN"/>
              </w:rPr>
            </w:pPr>
            <w:r>
              <w:rPr>
                <w:rFonts w:hint="eastAsia" w:ascii="宋体" w:hAnsi="宋体" w:cs="宋体"/>
                <w:sz w:val="24"/>
                <w:szCs w:val="24"/>
                <w:lang w:eastAsia="zh-CN"/>
              </w:rPr>
              <w:t>项目支出主要内容</w:t>
            </w:r>
          </w:p>
        </w:tc>
        <w:tc>
          <w:tcPr>
            <w:tcW w:w="6120" w:type="dxa"/>
            <w:gridSpan w:val="6"/>
            <w:vAlign w:val="top"/>
          </w:tcPr>
          <w:p>
            <w:pPr>
              <w:spacing w:line="540" w:lineRule="exact"/>
              <w:jc w:val="both"/>
              <w:rPr>
                <w:rFonts w:hint="eastAsia" w:ascii="宋体" w:hAnsi="宋体" w:cs="宋体"/>
                <w:sz w:val="24"/>
                <w:szCs w:val="24"/>
                <w:lang w:eastAsia="zh-CN"/>
              </w:rPr>
            </w:pPr>
            <w:r>
              <w:rPr>
                <w:rFonts w:hint="eastAsia" w:ascii="宋体" w:hAnsi="宋体" w:cs="宋体"/>
                <w:sz w:val="24"/>
                <w:szCs w:val="24"/>
                <w:lang w:eastAsia="zh-CN"/>
              </w:rPr>
              <w:t>组织全市国家级、省级、市级传承人项目保护单位负责人和非遗专干参与培训。庆祝“文化和自然遗产日”，开展非遗展示、非遗产品展销活动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主管部门</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　　　　</w:t>
            </w:r>
            <w:r>
              <w:rPr>
                <w:rFonts w:hint="eastAsia" w:ascii="楷体" w:hAnsi="楷体" w:eastAsia="楷体" w:cs="楷体"/>
                <w:sz w:val="28"/>
                <w:szCs w:val="28"/>
              </w:rPr>
              <w:t>邵阳市</w:t>
            </w:r>
            <w:r>
              <w:rPr>
                <w:rFonts w:hint="eastAsia" w:ascii="楷体" w:hAnsi="楷体" w:eastAsia="楷体" w:cs="楷体"/>
                <w:sz w:val="28"/>
                <w:szCs w:val="28"/>
                <w:lang w:eastAsia="zh-CN"/>
              </w:rPr>
              <w:t>文化旅游广电体育局</w:t>
            </w:r>
            <w:r>
              <w:rPr>
                <w:rFonts w:hint="eastAsia" w:ascii="楷体" w:hAnsi="楷体" w:eastAsia="楷体" w:cs="楷体"/>
                <w:sz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单位负责人</w:t>
            </w:r>
          </w:p>
        </w:tc>
        <w:tc>
          <w:tcPr>
            <w:tcW w:w="2155" w:type="dxa"/>
            <w:gridSpan w:val="2"/>
          </w:tcPr>
          <w:p>
            <w:pPr>
              <w:spacing w:line="540" w:lineRule="exact"/>
              <w:jc w:val="left"/>
              <w:rPr>
                <w:rFonts w:ascii="楷体" w:hAnsi="楷体" w:eastAsia="楷体" w:cs="楷体"/>
                <w:sz w:val="28"/>
              </w:rPr>
            </w:pPr>
            <w:r>
              <w:rPr>
                <w:rFonts w:hint="eastAsia" w:ascii="楷体" w:hAnsi="楷体" w:eastAsia="楷体" w:cs="楷体"/>
                <w:sz w:val="28"/>
                <w:szCs w:val="28"/>
              </w:rPr>
              <w:t>张映梅</w:t>
            </w:r>
          </w:p>
        </w:tc>
        <w:tc>
          <w:tcPr>
            <w:tcW w:w="1785" w:type="dxa"/>
            <w:gridSpan w:val="2"/>
            <w:vAlign w:val="center"/>
          </w:tcPr>
          <w:p>
            <w:pPr>
              <w:jc w:val="center"/>
              <w:rPr>
                <w:rFonts w:ascii="楷体" w:hAnsi="楷体" w:eastAsia="楷体" w:cs="楷体"/>
                <w:sz w:val="28"/>
              </w:rPr>
            </w:pPr>
            <w:r>
              <w:rPr>
                <w:rFonts w:hint="eastAsia" w:ascii="楷体" w:hAnsi="楷体" w:eastAsia="楷体" w:cs="楷体"/>
                <w:sz w:val="28"/>
                <w:lang w:eastAsia="zh-CN"/>
              </w:rPr>
              <w:t>项目支出</w:t>
            </w:r>
            <w:r>
              <w:rPr>
                <w:rFonts w:hint="eastAsia" w:ascii="楷体" w:hAnsi="楷体" w:eastAsia="楷体" w:cs="楷体"/>
                <w:sz w:val="28"/>
                <w:lang w:val="en-US" w:eastAsia="zh-CN"/>
              </w:rPr>
              <w:t xml:space="preserve">  </w:t>
            </w:r>
            <w:r>
              <w:rPr>
                <w:rFonts w:hint="eastAsia" w:ascii="楷体" w:hAnsi="楷体" w:eastAsia="楷体" w:cs="楷体"/>
                <w:sz w:val="28"/>
              </w:rPr>
              <w:t>负责人</w:t>
            </w:r>
          </w:p>
        </w:tc>
        <w:tc>
          <w:tcPr>
            <w:tcW w:w="2180" w:type="dxa"/>
            <w:gridSpan w:val="2"/>
          </w:tcPr>
          <w:p>
            <w:pPr>
              <w:spacing w:line="540" w:lineRule="exact"/>
              <w:jc w:val="left"/>
              <w:rPr>
                <w:rFonts w:ascii="楷体" w:hAnsi="楷体" w:eastAsia="楷体" w:cs="楷体"/>
                <w:sz w:val="28"/>
              </w:rPr>
            </w:pPr>
            <w:r>
              <w:rPr>
                <w:rFonts w:hint="eastAsia" w:ascii="楷体" w:hAnsi="楷体" w:eastAsia="楷体" w:cs="楷体"/>
                <w:sz w:val="28"/>
                <w:szCs w:val="28"/>
              </w:rPr>
              <w:t>郑小娟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属性</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　</w:t>
            </w:r>
            <w:r>
              <w:rPr>
                <w:rFonts w:hint="eastAsia" w:ascii="楷体" w:hAnsi="楷体" w:eastAsia="楷体" w:cs="楷体"/>
                <w:sz w:val="28"/>
                <w:lang w:eastAsia="zh-CN"/>
              </w:rPr>
              <w:t>☑</w:t>
            </w:r>
            <w:r>
              <w:rPr>
                <w:rFonts w:hint="eastAsia" w:ascii="楷体" w:hAnsi="楷体" w:eastAsia="楷体" w:cs="楷体"/>
                <w:sz w:val="28"/>
              </w:rPr>
              <w:t>经常性　　□一次性　　□新建　　□续建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资金分配情况</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分配区县（市）　　个；分配项目单位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资金总额及构成</w:t>
            </w:r>
          </w:p>
        </w:tc>
        <w:tc>
          <w:tcPr>
            <w:tcW w:w="6120" w:type="dxa"/>
            <w:gridSpan w:val="6"/>
          </w:tcPr>
          <w:p>
            <w:pPr>
              <w:rPr>
                <w:rFonts w:ascii="楷体" w:hAnsi="楷体" w:eastAsia="楷体" w:cs="楷体"/>
                <w:sz w:val="24"/>
              </w:rPr>
            </w:pPr>
            <w:r>
              <w:rPr>
                <w:rFonts w:hint="eastAsia" w:ascii="楷体" w:hAnsi="楷体" w:eastAsia="楷体" w:cs="楷体"/>
                <w:sz w:val="24"/>
              </w:rPr>
              <w:t>总额：　　万元，其中：省级财政　　万元；市级财政</w:t>
            </w:r>
            <w:r>
              <w:rPr>
                <w:rFonts w:hint="eastAsia" w:ascii="楷体" w:hAnsi="楷体" w:eastAsia="楷体" w:cs="楷体"/>
                <w:sz w:val="24"/>
                <w:lang w:val="en-US" w:eastAsia="zh-CN"/>
              </w:rPr>
              <w:t>15</w:t>
            </w:r>
            <w:r>
              <w:rPr>
                <w:rFonts w:hint="eastAsia" w:ascii="楷体" w:hAnsi="楷体" w:eastAsia="楷体" w:cs="楷体"/>
                <w:sz w:val="24"/>
              </w:rPr>
              <w:t xml:space="preserve"> 万元；区县　　万元；其他　　　万元</w:t>
            </w:r>
          </w:p>
          <w:p>
            <w:pPr>
              <w:spacing w:line="560" w:lineRule="exact"/>
              <w:jc w:val="left"/>
              <w:rPr>
                <w:rFonts w:ascii="楷体" w:hAnsi="楷体" w:eastAsia="楷体" w:cs="楷体"/>
                <w:sz w:val="24"/>
              </w:rPr>
            </w:pPr>
            <w:r>
              <w:rPr>
                <w:rFonts w:hint="eastAsia" w:ascii="楷体" w:hAnsi="楷体" w:eastAsia="楷体" w:cs="楷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起止时间</w:t>
            </w:r>
          </w:p>
        </w:tc>
        <w:tc>
          <w:tcPr>
            <w:tcW w:w="6120" w:type="dxa"/>
            <w:gridSpan w:val="6"/>
          </w:tcPr>
          <w:p>
            <w:pPr>
              <w:spacing w:line="560" w:lineRule="exact"/>
              <w:jc w:val="left"/>
              <w:rPr>
                <w:rFonts w:ascii="楷体" w:hAnsi="楷体" w:eastAsia="楷体" w:cs="楷体"/>
                <w:sz w:val="28"/>
              </w:rPr>
            </w:pPr>
            <w:r>
              <w:rPr>
                <w:rFonts w:hint="eastAsia" w:ascii="楷体" w:hAnsi="楷体" w:eastAsia="楷体" w:cs="楷体"/>
                <w:sz w:val="28"/>
              </w:rPr>
              <w:t>　</w:t>
            </w:r>
            <w:r>
              <w:rPr>
                <w:rFonts w:hint="eastAsia" w:ascii="楷体" w:hAnsi="楷体" w:eastAsia="楷体" w:cs="楷体"/>
                <w:sz w:val="28"/>
                <w:lang w:val="en-US" w:eastAsia="zh-CN"/>
              </w:rPr>
              <w:t>2020</w:t>
            </w:r>
            <w:r>
              <w:rPr>
                <w:rFonts w:hint="eastAsia" w:ascii="楷体" w:hAnsi="楷体" w:eastAsia="楷体" w:cs="楷体"/>
                <w:sz w:val="28"/>
              </w:rPr>
              <w:t>年</w:t>
            </w:r>
            <w:r>
              <w:rPr>
                <w:rFonts w:hint="eastAsia" w:ascii="楷体" w:hAnsi="楷体" w:eastAsia="楷体" w:cs="楷体"/>
                <w:sz w:val="28"/>
                <w:lang w:val="en-US" w:eastAsia="zh-CN"/>
              </w:rPr>
              <w:t>6</w:t>
            </w:r>
            <w:r>
              <w:rPr>
                <w:rFonts w:hint="eastAsia" w:ascii="楷体" w:hAnsi="楷体" w:eastAsia="楷体" w:cs="楷体"/>
                <w:sz w:val="28"/>
              </w:rPr>
              <w:t>月起至</w:t>
            </w:r>
            <w:r>
              <w:rPr>
                <w:rFonts w:hint="eastAsia" w:ascii="楷体" w:hAnsi="楷体" w:eastAsia="楷体" w:cs="楷体"/>
                <w:sz w:val="28"/>
                <w:lang w:val="en-US" w:eastAsia="zh-CN"/>
              </w:rPr>
              <w:t>20</w:t>
            </w:r>
            <w:r>
              <w:rPr>
                <w:rFonts w:hint="eastAsia" w:ascii="楷体" w:hAnsi="楷体" w:eastAsia="楷体" w:cs="楷体"/>
                <w:sz w:val="28"/>
              </w:rPr>
              <w:t>年</w:t>
            </w:r>
            <w:r>
              <w:rPr>
                <w:rFonts w:hint="eastAsia" w:ascii="楷体" w:hAnsi="楷体" w:eastAsia="楷体" w:cs="楷体"/>
                <w:sz w:val="28"/>
                <w:lang w:val="en-US" w:eastAsia="zh-CN"/>
              </w:rPr>
              <w:t>12</w:t>
            </w:r>
            <w:r>
              <w:rPr>
                <w:rFonts w:hint="eastAsia" w:ascii="楷体" w:hAnsi="楷体" w:eastAsia="楷体" w:cs="楷体"/>
                <w:sz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0" w:hRule="exact"/>
        </w:trPr>
        <w:tc>
          <w:tcPr>
            <w:tcW w:w="540" w:type="dxa"/>
            <w:vMerge w:val="restart"/>
            <w:vAlign w:val="center"/>
          </w:tcPr>
          <w:p>
            <w:pPr>
              <w:spacing w:line="560" w:lineRule="exact"/>
              <w:jc w:val="center"/>
              <w:rPr>
                <w:rFonts w:ascii="楷体" w:hAnsi="楷体" w:eastAsia="楷体" w:cs="楷体"/>
                <w:sz w:val="28"/>
              </w:rPr>
            </w:pPr>
            <w:r>
              <w:rPr>
                <w:rFonts w:hint="eastAsia" w:ascii="楷体" w:hAnsi="楷体" w:eastAsia="楷体" w:cs="楷体"/>
                <w:sz w:val="28"/>
              </w:rPr>
              <w:t>组织管理情况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立项依据</w:t>
            </w:r>
          </w:p>
        </w:tc>
        <w:tc>
          <w:tcPr>
            <w:tcW w:w="6120" w:type="dxa"/>
            <w:gridSpan w:val="6"/>
          </w:tcPr>
          <w:p>
            <w:pPr>
              <w:spacing w:line="560" w:lineRule="exact"/>
              <w:jc w:val="left"/>
              <w:rPr>
                <w:rFonts w:hint="eastAsia" w:ascii="楷体" w:hAnsi="楷体" w:eastAsia="楷体" w:cs="楷体"/>
                <w:sz w:val="28"/>
                <w:szCs w:val="24"/>
              </w:rPr>
            </w:pPr>
            <w:r>
              <w:rPr>
                <w:rFonts w:hint="eastAsia" w:ascii="楷体" w:hAnsi="楷体" w:eastAsia="楷体" w:cs="楷体"/>
                <w:sz w:val="28"/>
                <w:szCs w:val="24"/>
                <w:lang w:eastAsia="zh-CN"/>
              </w:rPr>
              <w:t>《</w:t>
            </w:r>
            <w:r>
              <w:rPr>
                <w:rFonts w:hint="eastAsia" w:ascii="楷体" w:hAnsi="楷体" w:eastAsia="楷体" w:cs="楷体"/>
                <w:sz w:val="28"/>
                <w:szCs w:val="24"/>
              </w:rPr>
              <w:t>国家级（省级）代表性传承人传承活动评估标准（试行）》</w:t>
            </w:r>
          </w:p>
          <w:p>
            <w:pPr>
              <w:spacing w:line="560" w:lineRule="exact"/>
              <w:jc w:val="left"/>
              <w:rPr>
                <w:rFonts w:hint="eastAsia" w:ascii="楷体" w:hAnsi="楷体" w:eastAsia="楷体" w:cs="楷体"/>
                <w:sz w:val="28"/>
              </w:rPr>
            </w:pPr>
            <w:r>
              <w:rPr>
                <w:rFonts w:ascii="楷体" w:hAnsi="楷体" w:eastAsia="楷体" w:cs="楷体"/>
                <w:sz w:val="28"/>
                <w:szCs w:val="24"/>
              </w:rPr>
              <w:t>《国务院关于加强文化遗产保护工作的通知》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可行性研究     报告结论</w:t>
            </w:r>
          </w:p>
        </w:tc>
        <w:tc>
          <w:tcPr>
            <w:tcW w:w="6120" w:type="dxa"/>
            <w:gridSpan w:val="6"/>
          </w:tcPr>
          <w:p>
            <w:pPr>
              <w:spacing w:line="360" w:lineRule="auto"/>
              <w:rPr>
                <w:rFonts w:ascii="楷体" w:hAnsi="楷体" w:eastAsia="楷体" w:cs="楷体"/>
                <w:sz w:val="24"/>
              </w:rPr>
            </w:pPr>
            <w:r>
              <w:rPr>
                <w:rFonts w:hint="eastAsia" w:ascii="宋体" w:hAnsi="宋体" w:cs="宋体"/>
                <w:sz w:val="24"/>
                <w:szCs w:val="24"/>
                <w:lang w:eastAsia="zh-CN"/>
              </w:rPr>
              <w:t>为传承人搭建交流互鉴的平台，进一步开拓非遗工作思路。</w:t>
            </w:r>
            <w:r>
              <w:rPr>
                <w:rFonts w:ascii="宋体" w:hAnsi="宋体" w:eastAsia="宋体" w:cs="宋体"/>
                <w:sz w:val="24"/>
                <w:szCs w:val="24"/>
              </w:rPr>
              <w:t>每年6月的第二个星期六</w:t>
            </w:r>
            <w:r>
              <w:rPr>
                <w:rFonts w:hint="eastAsia" w:ascii="宋体" w:hAnsi="宋体" w:cs="宋体"/>
                <w:sz w:val="24"/>
                <w:szCs w:val="24"/>
                <w:lang w:eastAsia="zh-CN"/>
              </w:rPr>
              <w:t>是</w:t>
            </w:r>
            <w:r>
              <w:rPr>
                <w:rFonts w:ascii="宋体" w:hAnsi="宋体" w:eastAsia="宋体" w:cs="宋体"/>
                <w:sz w:val="24"/>
                <w:szCs w:val="24"/>
              </w:rPr>
              <w:t>文化和自然遗产日”</w:t>
            </w:r>
            <w:r>
              <w:rPr>
                <w:rFonts w:hint="eastAsia" w:ascii="宋体" w:hAnsi="宋体" w:cs="宋体"/>
                <w:sz w:val="24"/>
                <w:szCs w:val="24"/>
                <w:lang w:eastAsia="zh-CN"/>
              </w:rPr>
              <w:t>，举办非遗展示活动能</w:t>
            </w:r>
            <w:r>
              <w:rPr>
                <w:rFonts w:ascii="宋体" w:hAnsi="宋体" w:eastAsia="宋体" w:cs="宋体"/>
                <w:sz w:val="24"/>
                <w:szCs w:val="24"/>
              </w:rPr>
              <w:t>营造保护文化遗产的良好氛围，提高人民群众对文化遗产保护重要性的认识，动员全社会共同参与、关注和保护文化遗产，增强全社会的文化遗产保护意识。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专家评审论证结论</w:t>
            </w:r>
          </w:p>
        </w:tc>
        <w:tc>
          <w:tcPr>
            <w:tcW w:w="6120" w:type="dxa"/>
            <w:gridSpan w:val="6"/>
          </w:tcPr>
          <w:p>
            <w:pPr>
              <w:spacing w:line="360" w:lineRule="exact"/>
              <w:jc w:val="left"/>
              <w:rPr>
                <w:rFonts w:ascii="楷体" w:hAnsi="楷体" w:eastAsia="楷体" w:cs="楷体"/>
                <w:sz w:val="22"/>
                <w:szCs w:val="22"/>
              </w:rPr>
            </w:pPr>
            <w:r>
              <w:rPr>
                <w:rFonts w:ascii="宋体" w:hAnsi="宋体" w:eastAsia="宋体" w:cs="宋体"/>
                <w:sz w:val="24"/>
                <w:szCs w:val="24"/>
              </w:rPr>
              <w:t>非遗是中华优秀传统文化的重要组成部分，是优秀传统文化的载体，通过此次培训，不断提升和丰富技能技艺水平，将我市非物质文化遗产代代相传。</w:t>
            </w:r>
            <w:r>
              <w:rPr>
                <w:rFonts w:hint="eastAsia" w:ascii="宋体" w:hAnsi="宋体" w:eastAsia="宋体" w:cs="宋体"/>
                <w:sz w:val="24"/>
                <w:szCs w:val="24"/>
                <w:lang w:eastAsia="zh-CN"/>
              </w:rPr>
              <w:t>相</w:t>
            </w:r>
            <w:r>
              <w:rPr>
                <w:rFonts w:hint="eastAsia" w:ascii="宋体" w:hAnsi="宋体" w:cs="宋体"/>
                <w:sz w:val="24"/>
                <w:szCs w:val="24"/>
                <w:lang w:eastAsia="zh-CN"/>
              </w:rPr>
              <w:t>关活动能</w:t>
            </w:r>
            <w:r>
              <w:rPr>
                <w:rFonts w:ascii="宋体" w:hAnsi="宋体" w:eastAsia="宋体" w:cs="宋体"/>
                <w:sz w:val="24"/>
                <w:szCs w:val="24"/>
              </w:rPr>
              <w:t>推动非遗资源和保护成果的共建、共享、共用</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是否实施政府采购</w:t>
            </w:r>
          </w:p>
          <w:p>
            <w:pPr>
              <w:spacing w:line="360" w:lineRule="exact"/>
              <w:jc w:val="center"/>
              <w:rPr>
                <w:rFonts w:ascii="楷体" w:hAnsi="楷体" w:eastAsia="楷体" w:cs="楷体"/>
                <w:sz w:val="28"/>
              </w:rPr>
            </w:pPr>
            <w:r>
              <w:rPr>
                <w:rFonts w:hint="eastAsia" w:ascii="楷体" w:hAnsi="楷体" w:eastAsia="楷体" w:cs="楷体"/>
                <w:sz w:val="28"/>
              </w:rPr>
              <w:t>及采购金额</w:t>
            </w:r>
          </w:p>
        </w:tc>
        <w:tc>
          <w:tcPr>
            <w:tcW w:w="6120" w:type="dxa"/>
            <w:gridSpan w:val="6"/>
          </w:tcPr>
          <w:p>
            <w:pPr>
              <w:spacing w:line="360" w:lineRule="exact"/>
              <w:jc w:val="left"/>
              <w:rPr>
                <w:rFonts w:ascii="楷体" w:hAnsi="楷体" w:eastAsia="楷体" w:cs="楷体"/>
                <w:sz w:val="28"/>
              </w:rPr>
            </w:pPr>
            <w:r>
              <w:rPr>
                <w:rFonts w:hint="eastAsia" w:ascii="楷体" w:hAnsi="楷体" w:eastAsia="楷体" w:cs="楷体"/>
                <w:sz w:val="28"/>
              </w:rPr>
              <w:t xml:space="preserve">□是　                    </w:t>
            </w:r>
            <w:r>
              <w:rPr>
                <w:rFonts w:hint="eastAsia" w:ascii="楷体" w:hAnsi="楷体" w:eastAsia="楷体" w:cs="楷体"/>
                <w:sz w:val="28"/>
                <w:lang w:eastAsia="zh-CN"/>
              </w:rPr>
              <w:t>☑</w:t>
            </w:r>
            <w:r>
              <w:rPr>
                <w:rFonts w:hint="eastAsia" w:ascii="楷体" w:hAnsi="楷体" w:eastAsia="楷体" w:cs="楷体"/>
                <w:sz w:val="28"/>
              </w:rPr>
              <w:t xml:space="preserve">否   </w:t>
            </w:r>
            <w:r>
              <w:rPr>
                <w:rFonts w:hint="eastAsia" w:ascii="楷体" w:hAnsi="楷体" w:eastAsia="楷体" w:cs="楷体"/>
                <w:sz w:val="28"/>
              </w:rPr>
              <w:br w:type="textWrapping"/>
            </w:r>
            <w:r>
              <w:rPr>
                <w:rFonts w:hint="eastAsia" w:ascii="楷体" w:hAnsi="楷体" w:eastAsia="楷体" w:cs="楷体"/>
                <w:sz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是否实行招投标</w:t>
            </w:r>
          </w:p>
        </w:tc>
        <w:tc>
          <w:tcPr>
            <w:tcW w:w="6120" w:type="dxa"/>
            <w:gridSpan w:val="6"/>
          </w:tcPr>
          <w:p>
            <w:pPr>
              <w:spacing w:line="560" w:lineRule="exact"/>
              <w:jc w:val="left"/>
              <w:rPr>
                <w:rFonts w:ascii="楷体" w:hAnsi="楷体" w:eastAsia="楷体" w:cs="楷体"/>
                <w:sz w:val="24"/>
              </w:rPr>
            </w:pPr>
            <w:r>
              <w:rPr>
                <w:rFonts w:hint="eastAsia" w:ascii="楷体" w:hAnsi="楷体" w:eastAsia="楷体" w:cs="楷体"/>
                <w:sz w:val="24"/>
              </w:rPr>
              <w:t xml:space="preserve">□是  实行的   个项目  　 </w:t>
            </w:r>
            <w:r>
              <w:rPr>
                <w:rFonts w:hint="eastAsia" w:ascii="楷体" w:hAnsi="楷体" w:eastAsia="楷体" w:cs="楷体"/>
                <w:sz w:val="24"/>
                <w:lang w:eastAsia="zh-CN"/>
              </w:rPr>
              <w:t>☑</w:t>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是否实行国库   集中支付</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t>□是  实行的   个项目 　　</w:t>
            </w:r>
            <w:r>
              <w:rPr>
                <w:rFonts w:hint="eastAsia" w:ascii="楷体" w:hAnsi="楷体" w:eastAsia="楷体" w:cs="楷体"/>
                <w:sz w:val="24"/>
                <w:lang w:eastAsia="zh-CN"/>
              </w:rPr>
              <w:t>☑</w:t>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是否实行工程代理制和投资评审制</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lang w:eastAsia="zh-CN"/>
              </w:rPr>
              <w:t>☑</w:t>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是否实行合同   管理制</w:t>
            </w:r>
          </w:p>
        </w:tc>
        <w:tc>
          <w:tcPr>
            <w:tcW w:w="6120" w:type="dxa"/>
            <w:gridSpan w:val="6"/>
          </w:tcPr>
          <w:p>
            <w:pPr>
              <w:spacing w:line="560" w:lineRule="exact"/>
              <w:jc w:val="lef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lang w:eastAsia="zh-CN"/>
              </w:rPr>
              <w:t>☑</w:t>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是否实行财政双控账户管理</w:t>
            </w:r>
          </w:p>
          <w:p>
            <w:pPr>
              <w:spacing w:line="360" w:lineRule="exact"/>
              <w:jc w:val="center"/>
              <w:rPr>
                <w:rFonts w:ascii="楷体" w:hAnsi="楷体" w:eastAsia="楷体" w:cs="楷体"/>
                <w:sz w:val="28"/>
              </w:rPr>
            </w:pPr>
            <w:r>
              <w:rPr>
                <w:rFonts w:hint="eastAsia" w:ascii="楷体" w:hAnsi="楷体" w:eastAsia="楷体" w:cs="楷体"/>
                <w:sz w:val="28"/>
              </w:rPr>
              <w:t>管理情况</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lang w:eastAsia="zh-CN"/>
              </w:rPr>
              <w:t>☑</w:t>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是否实行财政专户</w:t>
            </w:r>
          </w:p>
          <w:p>
            <w:pPr>
              <w:spacing w:line="360" w:lineRule="exact"/>
              <w:jc w:val="center"/>
              <w:rPr>
                <w:rFonts w:ascii="楷体" w:hAnsi="楷体" w:eastAsia="楷体" w:cs="楷体"/>
                <w:sz w:val="28"/>
              </w:rPr>
            </w:pPr>
            <w:r>
              <w:rPr>
                <w:rFonts w:hint="eastAsia" w:ascii="楷体" w:hAnsi="楷体" w:eastAsia="楷体" w:cs="楷体"/>
                <w:sz w:val="28"/>
              </w:rPr>
              <w:t>管理</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lang w:eastAsia="zh-CN"/>
              </w:rPr>
              <w:t>☑</w:t>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6" w:hRule="exact"/>
        </w:trPr>
        <w:tc>
          <w:tcPr>
            <w:tcW w:w="540" w:type="dxa"/>
            <w:vMerge w:val="restart"/>
            <w:vAlign w:val="center"/>
          </w:tcPr>
          <w:p>
            <w:pPr>
              <w:spacing w:line="440" w:lineRule="exact"/>
              <w:rPr>
                <w:rFonts w:ascii="楷体" w:hAnsi="楷体" w:eastAsia="楷体" w:cs="楷体"/>
                <w:sz w:val="28"/>
              </w:rPr>
            </w:pPr>
            <w:r>
              <w:rPr>
                <w:rFonts w:hint="eastAsia" w:ascii="楷体" w:hAnsi="楷体" w:eastAsia="楷体" w:cs="楷体"/>
                <w:sz w:val="28"/>
              </w:rPr>
              <w:t>项目监管情况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管理制度和     办法名称</w:t>
            </w:r>
          </w:p>
        </w:tc>
        <w:tc>
          <w:tcPr>
            <w:tcW w:w="6120" w:type="dxa"/>
            <w:gridSpan w:val="6"/>
          </w:tcPr>
          <w:p>
            <w:pPr>
              <w:spacing w:line="360" w:lineRule="exact"/>
              <w:ind w:left="80" w:leftChars="38"/>
              <w:jc w:val="left"/>
              <w:rPr>
                <w:rFonts w:hint="eastAsia" w:ascii="楷体" w:hAnsi="楷体" w:eastAsia="楷体" w:cs="楷体"/>
                <w:kern w:val="2"/>
                <w:sz w:val="28"/>
                <w:szCs w:val="24"/>
                <w:lang w:val="en-US" w:eastAsia="zh-CN" w:bidi="ar-SA"/>
              </w:rPr>
            </w:pPr>
            <w:r>
              <w:rPr>
                <w:rFonts w:hint="eastAsia" w:ascii="楷体" w:hAnsi="楷体" w:eastAsia="楷体" w:cs="楷体"/>
                <w:kern w:val="2"/>
                <w:sz w:val="28"/>
                <w:szCs w:val="24"/>
                <w:lang w:val="en-US" w:eastAsia="zh-CN" w:bidi="ar-SA"/>
              </w:rPr>
              <w:t>《文化部办公厅 教育部办公厅关于实施中国非物质文化遗产传承人群研修研习培训计划的通知》（办非遗〔2015〕581号）</w:t>
            </w:r>
          </w:p>
          <w:p>
            <w:pPr>
              <w:pStyle w:val="5"/>
              <w:keepNext w:val="0"/>
              <w:keepLines w:val="0"/>
              <w:widowControl/>
              <w:suppressLineNumbers w:val="0"/>
              <w:jc w:val="center"/>
              <w:rPr>
                <w:rFonts w:hint="eastAsia" w:ascii="楷体" w:hAnsi="楷体" w:eastAsia="楷体" w:cs="楷体"/>
                <w:kern w:val="2"/>
                <w:sz w:val="28"/>
                <w:szCs w:val="24"/>
                <w:lang w:val="en-US" w:eastAsia="zh-CN" w:bidi="ar-SA"/>
              </w:rPr>
            </w:pPr>
            <w:r>
              <w:rPr>
                <w:rFonts w:hint="eastAsia" w:ascii="楷体" w:hAnsi="楷体" w:eastAsia="楷体" w:cs="楷体"/>
                <w:kern w:val="2"/>
                <w:sz w:val="28"/>
                <w:szCs w:val="24"/>
                <w:lang w:val="en-US" w:eastAsia="zh-CN" w:bidi="ar-SA"/>
              </w:rPr>
              <w:t>文化和旅游部办公厅关于开展2020年“文化和自然遗产日”非遗宣传展示活动的通知</w:t>
            </w:r>
            <w:r>
              <w:rPr>
                <w:rFonts w:hint="eastAsia" w:ascii="楷体" w:hAnsi="楷体" w:eastAsia="楷体" w:cs="楷体"/>
                <w:kern w:val="2"/>
                <w:sz w:val="28"/>
                <w:szCs w:val="24"/>
                <w:lang w:val="en-US" w:eastAsia="zh-CN" w:bidi="ar-SA"/>
              </w:rPr>
              <w:br w:type="textWrapping"/>
            </w:r>
            <w:r>
              <w:rPr>
                <w:rFonts w:hint="eastAsia" w:ascii="楷体" w:hAnsi="楷体" w:eastAsia="楷体" w:cs="楷体"/>
                <w:kern w:val="2"/>
                <w:sz w:val="28"/>
                <w:szCs w:val="24"/>
                <w:lang w:val="en-US" w:eastAsia="zh-CN" w:bidi="ar-SA"/>
              </w:rPr>
              <w:t>办非遗发〔2020〕27号</w:t>
            </w:r>
          </w:p>
          <w:p>
            <w:pPr>
              <w:spacing w:line="360" w:lineRule="exact"/>
              <w:ind w:left="80" w:leftChars="38"/>
              <w:jc w:val="left"/>
              <w:rPr>
                <w:rFonts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具体工作措施</w:t>
            </w:r>
          </w:p>
        </w:tc>
        <w:tc>
          <w:tcPr>
            <w:tcW w:w="6120" w:type="dxa"/>
            <w:gridSpan w:val="6"/>
          </w:tcPr>
          <w:p>
            <w:pPr>
              <w:spacing w:line="560" w:lineRule="exact"/>
              <w:jc w:val="left"/>
              <w:rPr>
                <w:rFonts w:hint="default" w:ascii="楷体" w:hAnsi="楷体" w:eastAsia="楷体" w:cs="楷体"/>
                <w:sz w:val="24"/>
                <w:lang w:val="en-US" w:eastAsia="zh-CN"/>
              </w:rPr>
            </w:pPr>
            <w:r>
              <w:rPr>
                <w:rFonts w:hint="eastAsia" w:ascii="楷体" w:hAnsi="楷体" w:eastAsia="楷体" w:cs="楷体"/>
                <w:kern w:val="2"/>
                <w:sz w:val="28"/>
                <w:szCs w:val="24"/>
                <w:lang w:val="en-US" w:eastAsia="zh-CN" w:bidi="ar-SA"/>
              </w:rPr>
              <w:t>举办为期2天的培训班；举办文化和自然遗产日非遗宣传展示活动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调整内容及报批程序和手续</w:t>
            </w:r>
          </w:p>
        </w:tc>
        <w:tc>
          <w:tcPr>
            <w:tcW w:w="6120" w:type="dxa"/>
            <w:gridSpan w:val="6"/>
          </w:tcPr>
          <w:p>
            <w:pPr>
              <w:spacing w:line="360" w:lineRule="exact"/>
              <w:jc w:val="left"/>
              <w:rPr>
                <w:rFonts w:ascii="楷体" w:hAnsi="楷体" w:eastAsia="楷体" w:cs="楷体"/>
                <w:sz w:val="24"/>
              </w:rPr>
            </w:pPr>
            <w:r>
              <w:rPr>
                <w:rFonts w:hint="eastAsia" w:ascii="楷体" w:hAnsi="楷体" w:eastAsia="楷体" w:cs="楷体"/>
                <w:sz w:val="28"/>
                <w:szCs w:val="28"/>
              </w:rPr>
              <w:t>专项经费未做其他用途</w:t>
            </w:r>
            <w:r>
              <w:rPr>
                <w:rFonts w:hint="eastAsia" w:ascii="楷体" w:hAnsi="楷体"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完工验收情况</w:t>
            </w:r>
          </w:p>
        </w:tc>
        <w:tc>
          <w:tcPr>
            <w:tcW w:w="6120" w:type="dxa"/>
            <w:gridSpan w:val="6"/>
            <w:vAlign w:val="center"/>
          </w:tcPr>
          <w:p>
            <w:pPr>
              <w:spacing w:line="360" w:lineRule="exact"/>
              <w:rPr>
                <w:rFonts w:hint="eastAsia" w:ascii="楷体" w:hAnsi="楷体" w:eastAsia="楷体" w:cs="楷体"/>
                <w:sz w:val="24"/>
                <w:lang w:eastAsia="zh-CN"/>
              </w:rPr>
            </w:pPr>
            <w:r>
              <w:rPr>
                <w:rFonts w:hint="eastAsia" w:ascii="楷体" w:hAnsi="楷体" w:eastAsia="楷体" w:cs="楷体"/>
                <w:sz w:val="28"/>
                <w:szCs w:val="28"/>
                <w:lang w:eastAsia="zh-CN"/>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监督检查情况</w:t>
            </w:r>
          </w:p>
        </w:tc>
        <w:tc>
          <w:tcPr>
            <w:tcW w:w="6120" w:type="dxa"/>
            <w:gridSpan w:val="6"/>
          </w:tcPr>
          <w:p>
            <w:pPr>
              <w:spacing w:line="360" w:lineRule="exact"/>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exact"/>
        </w:trPr>
        <w:tc>
          <w:tcPr>
            <w:tcW w:w="540" w:type="dxa"/>
            <w:vMerge w:val="restart"/>
          </w:tcPr>
          <w:p>
            <w:pPr>
              <w:spacing w:line="0" w:lineRule="atLeast"/>
              <w:rPr>
                <w:rFonts w:ascii="楷体" w:hAnsi="楷体" w:eastAsia="楷体" w:cs="楷体"/>
                <w:sz w:val="28"/>
              </w:rPr>
            </w:pPr>
            <w:r>
              <w:rPr>
                <w:rFonts w:hint="eastAsia" w:ascii="楷体" w:hAnsi="楷体" w:eastAsia="楷体" w:cs="楷体"/>
                <w:sz w:val="28"/>
              </w:rPr>
              <w:t>资金管理情况</w:t>
            </w:r>
          </w:p>
        </w:tc>
        <w:tc>
          <w:tcPr>
            <w:tcW w:w="2520" w:type="dxa"/>
            <w:gridSpan w:val="2"/>
            <w:tcBorders>
              <w:bottom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资金使用管理</w:t>
            </w:r>
          </w:p>
        </w:tc>
        <w:tc>
          <w:tcPr>
            <w:tcW w:w="6120" w:type="dxa"/>
            <w:gridSpan w:val="6"/>
            <w:tcBorders>
              <w:bottom w:val="single" w:color="auto" w:sz="4" w:space="0"/>
            </w:tcBorders>
            <w:vAlign w:val="center"/>
          </w:tcPr>
          <w:p>
            <w:pPr>
              <w:jc w:val="left"/>
              <w:rPr>
                <w:rFonts w:ascii="楷体" w:hAnsi="楷体" w:eastAsia="楷体" w:cs="楷体"/>
                <w:sz w:val="24"/>
              </w:rPr>
            </w:pPr>
            <w:r>
              <w:rPr>
                <w:rFonts w:hint="eastAsia" w:ascii="楷体" w:hAnsi="楷体" w:eastAsia="楷体" w:cs="楷体"/>
                <w:sz w:val="28"/>
                <w:szCs w:val="28"/>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exact"/>
        </w:trPr>
        <w:tc>
          <w:tcPr>
            <w:tcW w:w="540" w:type="dxa"/>
            <w:vMerge w:val="continue"/>
            <w:tcBorders>
              <w:bottom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bottom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财务管理制度</w:t>
            </w:r>
          </w:p>
        </w:tc>
        <w:tc>
          <w:tcPr>
            <w:tcW w:w="6120" w:type="dxa"/>
            <w:gridSpan w:val="6"/>
            <w:tcBorders>
              <w:top w:val="single" w:color="auto" w:sz="4" w:space="0"/>
              <w:bottom w:val="single" w:color="auto" w:sz="4" w:space="0"/>
            </w:tcBorders>
            <w:vAlign w:val="center"/>
          </w:tcPr>
          <w:p>
            <w:pPr>
              <w:spacing w:line="560" w:lineRule="exact"/>
              <w:rPr>
                <w:rFonts w:ascii="楷体" w:hAnsi="楷体" w:eastAsia="楷体" w:cs="楷体"/>
                <w:sz w:val="24"/>
              </w:rPr>
            </w:pPr>
            <w:r>
              <w:rPr>
                <w:rFonts w:hint="eastAsia" w:ascii="楷体" w:hAnsi="楷体" w:eastAsia="楷体" w:cs="楷体"/>
                <w:sz w:val="28"/>
                <w:szCs w:val="28"/>
              </w:rPr>
              <w:t>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trPr>
        <w:tc>
          <w:tcPr>
            <w:tcW w:w="540" w:type="dxa"/>
            <w:vMerge w:val="restart"/>
            <w:tcBorders>
              <w:top w:val="single" w:color="auto" w:sz="4" w:space="0"/>
            </w:tcBorders>
            <w:textDirection w:val="tbRlV"/>
            <w:vAlign w:val="center"/>
          </w:tcPr>
          <w:p>
            <w:pPr>
              <w:spacing w:line="500" w:lineRule="exact"/>
              <w:ind w:left="113" w:right="113" w:firstLine="840" w:firstLineChars="300"/>
              <w:rPr>
                <w:rFonts w:ascii="楷体" w:hAnsi="楷体" w:eastAsia="楷体" w:cs="楷体"/>
                <w:sz w:val="28"/>
              </w:rPr>
            </w:pPr>
            <w:r>
              <w:rPr>
                <w:rFonts w:hint="eastAsia" w:ascii="楷体" w:hAnsi="楷体" w:eastAsia="楷体" w:cs="楷体"/>
                <w:sz w:val="28"/>
                <w:lang w:eastAsia="zh-CN"/>
              </w:rPr>
              <w:t>资金</w:t>
            </w:r>
            <w:r>
              <w:rPr>
                <w:rFonts w:hint="eastAsia" w:ascii="楷体" w:hAnsi="楷体" w:eastAsia="楷体" w:cs="楷体"/>
                <w:sz w:val="28"/>
              </w:rPr>
              <w:t>安排使用情况</w:t>
            </w:r>
          </w:p>
        </w:tc>
        <w:tc>
          <w:tcPr>
            <w:tcW w:w="2520" w:type="dxa"/>
            <w:gridSpan w:val="2"/>
            <w:tcBorders>
              <w:top w:val="single" w:color="auto" w:sz="4" w:space="0"/>
              <w:bottom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内容</w:t>
            </w:r>
          </w:p>
        </w:tc>
        <w:tc>
          <w:tcPr>
            <w:tcW w:w="1440" w:type="dxa"/>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应到位资金（万元）</w:t>
            </w:r>
          </w:p>
        </w:tc>
        <w:tc>
          <w:tcPr>
            <w:tcW w:w="1930" w:type="dxa"/>
            <w:gridSpan w:val="2"/>
            <w:tcBorders>
              <w:top w:val="single" w:color="auto" w:sz="4" w:space="0"/>
            </w:tcBorders>
            <w:vAlign w:val="center"/>
          </w:tcPr>
          <w:p>
            <w:pPr>
              <w:jc w:val="center"/>
              <w:rPr>
                <w:rFonts w:ascii="楷体" w:hAnsi="楷体" w:eastAsia="楷体" w:cs="楷体"/>
                <w:sz w:val="28"/>
              </w:rPr>
            </w:pPr>
            <w:r>
              <w:rPr>
                <w:rFonts w:hint="eastAsia" w:ascii="楷体" w:hAnsi="楷体" w:eastAsia="楷体" w:cs="楷体"/>
                <w:sz w:val="28"/>
              </w:rPr>
              <w:t>实际到位资金（万元）</w:t>
            </w:r>
          </w:p>
        </w:tc>
        <w:tc>
          <w:tcPr>
            <w:tcW w:w="1380" w:type="dxa"/>
            <w:gridSpan w:val="2"/>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实际支出（万元）</w:t>
            </w:r>
          </w:p>
        </w:tc>
        <w:tc>
          <w:tcPr>
            <w:tcW w:w="1370" w:type="dxa"/>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tcBorders>
              <w:bottom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中央财政</w:t>
            </w:r>
          </w:p>
        </w:tc>
        <w:tc>
          <w:tcPr>
            <w:tcW w:w="1440" w:type="dxa"/>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trPr>
        <w:tc>
          <w:tcPr>
            <w:tcW w:w="540" w:type="dxa"/>
            <w:vMerge w:val="continue"/>
            <w:tcBorders>
              <w:right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省级财政</w:t>
            </w:r>
          </w:p>
        </w:tc>
        <w:tc>
          <w:tcPr>
            <w:tcW w:w="1440" w:type="dxa"/>
            <w:tcBorders>
              <w:left w:val="single" w:color="auto" w:sz="4" w:space="0"/>
            </w:tcBorders>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540" w:type="dxa"/>
            <w:vMerge w:val="continue"/>
            <w:tcBorders>
              <w:bottom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bottom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市级财政</w:t>
            </w:r>
          </w:p>
        </w:tc>
        <w:tc>
          <w:tcPr>
            <w:tcW w:w="1440" w:type="dxa"/>
            <w:tcBorders>
              <w:bottom w:val="single" w:color="auto" w:sz="4" w:space="0"/>
            </w:tcBorders>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15</w:t>
            </w:r>
          </w:p>
        </w:tc>
        <w:tc>
          <w:tcPr>
            <w:tcW w:w="1930" w:type="dxa"/>
            <w:gridSpan w:val="2"/>
            <w:tcBorders>
              <w:bottom w:val="single" w:color="auto" w:sz="4" w:space="0"/>
            </w:tcBorders>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15</w:t>
            </w:r>
          </w:p>
        </w:tc>
        <w:tc>
          <w:tcPr>
            <w:tcW w:w="1380" w:type="dxa"/>
            <w:gridSpan w:val="2"/>
            <w:tcBorders>
              <w:bottom w:val="single" w:color="auto" w:sz="4" w:space="0"/>
            </w:tcBorders>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15</w:t>
            </w:r>
          </w:p>
        </w:tc>
        <w:tc>
          <w:tcPr>
            <w:tcW w:w="1370" w:type="dxa"/>
            <w:tcBorders>
              <w:bottom w:val="single" w:color="auto" w:sz="4" w:space="0"/>
            </w:tcBorders>
            <w:vAlign w:val="center"/>
          </w:tcPr>
          <w:p>
            <w:pPr>
              <w:spacing w:line="560" w:lineRule="exact"/>
              <w:jc w:val="center"/>
              <w:rPr>
                <w:rFonts w:hint="eastAsia" w:ascii="楷体" w:hAnsi="楷体" w:eastAsia="楷体" w:cs="楷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540" w:type="dxa"/>
            <w:vMerge w:val="continue"/>
            <w:tcBorders>
              <w:top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县（市区）资金</w:t>
            </w:r>
          </w:p>
        </w:tc>
        <w:tc>
          <w:tcPr>
            <w:tcW w:w="1440" w:type="dxa"/>
            <w:tcBorders>
              <w:top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tcBorders>
            <w:vAlign w:val="center"/>
          </w:tcPr>
          <w:p>
            <w:pPr>
              <w:spacing w:line="560" w:lineRule="exact"/>
              <w:jc w:val="center"/>
              <w:rPr>
                <w:rFonts w:ascii="楷体" w:hAnsi="楷体" w:eastAsia="楷体" w:cs="楷体"/>
                <w:sz w:val="28"/>
              </w:rPr>
            </w:pPr>
          </w:p>
        </w:tc>
        <w:tc>
          <w:tcPr>
            <w:tcW w:w="1370" w:type="dxa"/>
            <w:tcBorders>
              <w:top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560" w:lineRule="exact"/>
              <w:jc w:val="center"/>
              <w:rPr>
                <w:rFonts w:ascii="楷体" w:hAnsi="楷体" w:eastAsia="楷体" w:cs="楷体"/>
                <w:sz w:val="28"/>
              </w:rPr>
            </w:pPr>
            <w:r>
              <w:rPr>
                <w:rFonts w:hint="eastAsia" w:ascii="楷体" w:hAnsi="楷体" w:eastAsia="楷体" w:cs="楷体"/>
                <w:sz w:val="28"/>
              </w:rPr>
              <w:t>其他配套资金</w:t>
            </w:r>
          </w:p>
        </w:tc>
        <w:tc>
          <w:tcPr>
            <w:tcW w:w="1440" w:type="dxa"/>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560" w:lineRule="exact"/>
              <w:jc w:val="center"/>
              <w:rPr>
                <w:rFonts w:ascii="楷体" w:hAnsi="楷体" w:eastAsia="楷体" w:cs="楷体"/>
                <w:sz w:val="28"/>
              </w:rPr>
            </w:pPr>
            <w:r>
              <w:rPr>
                <w:rFonts w:hint="eastAsia" w:ascii="楷体" w:hAnsi="楷体" w:eastAsia="楷体" w:cs="楷体"/>
                <w:sz w:val="28"/>
              </w:rPr>
              <w:t>合　　计</w:t>
            </w:r>
          </w:p>
        </w:tc>
        <w:tc>
          <w:tcPr>
            <w:tcW w:w="1440" w:type="dxa"/>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15</w:t>
            </w:r>
          </w:p>
        </w:tc>
        <w:tc>
          <w:tcPr>
            <w:tcW w:w="1930" w:type="dxa"/>
            <w:gridSpan w:val="2"/>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15</w:t>
            </w:r>
          </w:p>
        </w:tc>
        <w:tc>
          <w:tcPr>
            <w:tcW w:w="1380" w:type="dxa"/>
            <w:gridSpan w:val="2"/>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15</w:t>
            </w:r>
          </w:p>
        </w:tc>
        <w:tc>
          <w:tcPr>
            <w:tcW w:w="1370" w:type="dxa"/>
            <w:vAlign w:val="center"/>
          </w:tcPr>
          <w:p>
            <w:pPr>
              <w:spacing w:line="560" w:lineRule="exact"/>
              <w:jc w:val="center"/>
              <w:rPr>
                <w:rFonts w:ascii="楷体" w:hAnsi="楷体" w:eastAsia="楷体" w:cs="楷体"/>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613" w:type="dxa"/>
            <w:gridSpan w:val="7"/>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30"/>
                <w:szCs w:val="30"/>
                <w:lang w:eastAsia="zh-CN"/>
              </w:rPr>
            </w:pPr>
            <w:r>
              <w:rPr>
                <w:rFonts w:hint="eastAsia" w:ascii="楷体" w:hAnsi="楷体" w:eastAsia="楷体" w:cs="楷体"/>
                <w:sz w:val="30"/>
                <w:szCs w:val="30"/>
                <w:lang w:eastAsia="zh-CN"/>
              </w:rPr>
              <w:t>每年举办一期传承人培训班，举办一期项目保护单位负责人和非遗专干管理培训班；</w:t>
            </w:r>
          </w:p>
          <w:p>
            <w:pPr>
              <w:rPr>
                <w:rFonts w:ascii="楷体" w:hAnsi="楷体" w:eastAsia="楷体" w:cs="楷体"/>
                <w:sz w:val="30"/>
                <w:szCs w:val="30"/>
              </w:rPr>
            </w:pPr>
            <w:r>
              <w:rPr>
                <w:rFonts w:ascii="楷体" w:hAnsi="楷体" w:eastAsia="楷体" w:cs="楷体"/>
                <w:sz w:val="30"/>
                <w:szCs w:val="30"/>
                <w:lang w:val="en-US" w:eastAsia="zh-CN"/>
              </w:rPr>
              <w:t>“文化和自然遗产日”邵阳市非物质文化遗产宣传展示活动</w:t>
            </w:r>
            <w:r>
              <w:rPr>
                <w:rFonts w:hint="eastAsia" w:ascii="楷体" w:hAnsi="楷体" w:eastAsia="楷体" w:cs="楷体"/>
                <w:sz w:val="30"/>
                <w:szCs w:val="30"/>
                <w:lang w:val="en-US" w:eastAsia="zh-CN"/>
              </w:rPr>
              <w:t>于6月12日在市艺术中心爱莲广场举行，部分传统体育项目、传统戏剧表演的艺术家和传承人、市级非遗传承人代表参加活动。同事还举办了</w:t>
            </w:r>
            <w:r>
              <w:rPr>
                <w:rFonts w:ascii="楷体" w:hAnsi="楷体" w:eastAsia="楷体" w:cs="楷体"/>
                <w:sz w:val="30"/>
                <w:szCs w:val="30"/>
                <w:lang w:val="en-US" w:eastAsia="zh-CN"/>
              </w:rPr>
              <w:t>邵阳市</w:t>
            </w:r>
            <w:r>
              <w:rPr>
                <w:rFonts w:hint="eastAsia" w:ascii="楷体" w:hAnsi="楷体" w:eastAsia="楷体" w:cs="楷体"/>
                <w:sz w:val="30"/>
                <w:szCs w:val="30"/>
                <w:lang w:val="en-US" w:eastAsia="zh-CN"/>
              </w:rPr>
              <w:t>非物质文化遗产摄影作品展</w:t>
            </w:r>
          </w:p>
          <w:p>
            <w:pPr>
              <w:rPr>
                <w:rFonts w:hint="eastAsia" w:ascii="楷体" w:hAnsi="楷体" w:eastAsia="楷体" w:cs="楷体"/>
                <w:sz w:val="30"/>
                <w:szCs w:val="3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613" w:type="dxa"/>
            <w:gridSpan w:val="7"/>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30"/>
                <w:szCs w:val="30"/>
                <w:lang w:eastAsia="zh-CN"/>
              </w:rPr>
            </w:pPr>
            <w:r>
              <w:rPr>
                <w:rFonts w:hint="eastAsia" w:ascii="楷体" w:hAnsi="楷体" w:eastAsia="楷体" w:cs="楷体"/>
                <w:sz w:val="30"/>
                <w:szCs w:val="30"/>
                <w:lang w:eastAsia="zh-CN"/>
              </w:rPr>
              <w:t>传承人培训班邀请省文旅厅专家为传承人授课，讲述非遗项目申报的流程和要点，邀请文联主席授课，题为《新时代邵阳非遗传承创新的思考和建议》；</w:t>
            </w:r>
          </w:p>
          <w:p>
            <w:pPr>
              <w:rPr>
                <w:rFonts w:hint="eastAsia" w:ascii="楷体" w:hAnsi="楷体" w:eastAsia="楷体" w:cs="楷体"/>
                <w:sz w:val="30"/>
                <w:szCs w:val="30"/>
                <w:lang w:eastAsia="zh-CN"/>
              </w:rPr>
            </w:pPr>
            <w:r>
              <w:rPr>
                <w:rFonts w:ascii="楷体" w:hAnsi="楷体" w:eastAsia="楷体" w:cs="楷体"/>
                <w:sz w:val="30"/>
                <w:szCs w:val="30"/>
                <w:lang w:val="en-US" w:eastAsia="zh-CN"/>
              </w:rPr>
              <w:t>“文化和自然遗产日”</w:t>
            </w:r>
            <w:r>
              <w:rPr>
                <w:rFonts w:hint="eastAsia" w:ascii="楷体" w:hAnsi="楷体" w:eastAsia="楷体" w:cs="楷体"/>
                <w:sz w:val="30"/>
                <w:szCs w:val="30"/>
                <w:lang w:val="en-US" w:eastAsia="zh-CN"/>
              </w:rPr>
              <w:t>活动吸引了大批群众参观，近距离感受我市非遗的魅力，也进一步增强了群众对于非遗的法律意识与保护意识，取得了活动预期的宣传效果。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1" w:hRule="atLeast"/>
        </w:trPr>
        <w:tc>
          <w:tcPr>
            <w:tcW w:w="567"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613" w:type="dxa"/>
            <w:gridSpan w:val="7"/>
            <w:tcBorders>
              <w:top w:val="single" w:color="auto" w:sz="4" w:space="0"/>
              <w:left w:val="single" w:color="auto" w:sz="4" w:space="0"/>
              <w:bottom w:val="single" w:color="auto" w:sz="4" w:space="0"/>
              <w:right w:val="single" w:color="auto" w:sz="4" w:space="0"/>
            </w:tcBorders>
          </w:tcPr>
          <w:p>
            <w:pPr>
              <w:ind w:firstLine="280" w:firstLineChars="100"/>
              <w:rPr>
                <w:rFonts w:ascii="楷体" w:hAnsi="楷体" w:eastAsia="楷体" w:cs="楷体"/>
                <w:sz w:val="30"/>
                <w:szCs w:val="30"/>
              </w:rPr>
            </w:pPr>
            <w:r>
              <w:rPr>
                <w:rFonts w:hint="eastAsia" w:ascii="楷体" w:hAnsi="楷体" w:eastAsia="楷体" w:cs="楷体"/>
                <w:sz w:val="28"/>
                <w:szCs w:val="28"/>
              </w:rPr>
              <w:t>综合分析评论结果为：有效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资金分配原则程序和方法</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r>
              <w:rPr>
                <w:rFonts w:hint="eastAsia" w:ascii="楷体" w:hAnsi="楷体" w:eastAsia="楷体" w:cs="楷体"/>
                <w:kern w:val="0"/>
                <w:sz w:val="30"/>
                <w:szCs w:val="30"/>
              </w:rPr>
              <w:t>本主管部门按照项目资金分配的基本原则、程序和方法，进行分配，按程序进行项目申报，并实行公开申报；部门对项目进行严格审核审核，结果实行公示。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评价工作情况</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r>
              <w:rPr>
                <w:rFonts w:hint="eastAsia" w:ascii="楷体" w:hAnsi="楷体" w:eastAsia="楷体" w:cs="楷体"/>
                <w:sz w:val="28"/>
                <w:szCs w:val="28"/>
              </w:rPr>
              <w:t>本</w:t>
            </w:r>
            <w:r>
              <w:rPr>
                <w:rFonts w:hint="eastAsia" w:ascii="楷体" w:hAnsi="楷体" w:eastAsia="楷体" w:cs="楷体"/>
                <w:sz w:val="30"/>
                <w:szCs w:val="30"/>
              </w:rPr>
              <w:t>部门本次绩效自评严格按照《邵阳市财政局关于开展</w:t>
            </w:r>
            <w:r>
              <w:rPr>
                <w:rFonts w:hint="eastAsia" w:ascii="楷体" w:hAnsi="楷体" w:eastAsia="楷体" w:cs="楷体"/>
                <w:sz w:val="30"/>
                <w:szCs w:val="30"/>
                <w:lang w:eastAsia="zh-CN"/>
              </w:rPr>
              <w:t>20</w:t>
            </w:r>
            <w:r>
              <w:rPr>
                <w:rFonts w:hint="eastAsia" w:ascii="楷体" w:hAnsi="楷体" w:eastAsia="楷体" w:cs="楷体"/>
                <w:sz w:val="30"/>
                <w:szCs w:val="30"/>
                <w:lang w:val="en-US" w:eastAsia="zh-CN"/>
              </w:rPr>
              <w:t>20</w:t>
            </w:r>
            <w:r>
              <w:rPr>
                <w:rFonts w:hint="eastAsia" w:ascii="楷体" w:hAnsi="楷体" w:eastAsia="楷体" w:cs="楷体"/>
                <w:sz w:val="30"/>
                <w:szCs w:val="30"/>
              </w:rPr>
              <w:t>年</w:t>
            </w:r>
            <w:r>
              <w:rPr>
                <w:rFonts w:hint="eastAsia" w:ascii="楷体" w:hAnsi="楷体" w:eastAsia="楷体" w:cs="楷体"/>
                <w:sz w:val="30"/>
                <w:szCs w:val="30"/>
                <w:lang w:eastAsia="zh-CN"/>
              </w:rPr>
              <w:t>度</w:t>
            </w:r>
            <w:r>
              <w:rPr>
                <w:rFonts w:hint="eastAsia" w:ascii="楷体" w:hAnsi="楷体" w:eastAsia="楷体" w:cs="楷体"/>
                <w:sz w:val="30"/>
                <w:szCs w:val="30"/>
              </w:rPr>
              <w:t>已完工项目绩效自评工作的通知》组织实施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rPr>
            </w:pPr>
          </w:p>
        </w:tc>
      </w:tr>
    </w:tbl>
    <w:p>
      <w:pPr>
        <w:spacing w:line="480" w:lineRule="exact"/>
        <w:rPr>
          <w:sz w:val="28"/>
          <w:szCs w:val="28"/>
        </w:rPr>
      </w:pPr>
      <w:r>
        <w:rPr>
          <w:rFonts w:hint="eastAsia" w:ascii="仿宋" w:hAnsi="仿宋" w:eastAsia="仿宋" w:cs="仿宋"/>
        </w:rPr>
        <w:t>说明：各单位根据文字数量需要调整此表。</w:t>
      </w:r>
    </w:p>
    <w:p>
      <w:pPr>
        <w:spacing w:line="480" w:lineRule="exact"/>
        <w:rPr>
          <w:rFonts w:ascii="楷体" w:hAnsi="楷体" w:eastAsia="楷体" w:cs="楷体"/>
          <w:sz w:val="32"/>
          <w:szCs w:val="32"/>
        </w:rPr>
      </w:pPr>
    </w:p>
    <w:p>
      <w:pPr>
        <w:spacing w:line="480" w:lineRule="exact"/>
        <w:rPr>
          <w:rFonts w:ascii="楷体" w:hAnsi="楷体" w:eastAsia="楷体" w:cs="楷体"/>
          <w:sz w:val="32"/>
          <w:szCs w:val="32"/>
        </w:rPr>
      </w:pPr>
      <w:r>
        <w:rPr>
          <w:rFonts w:hint="eastAsia" w:ascii="楷体" w:hAnsi="楷体" w:eastAsia="楷体" w:cs="楷体"/>
          <w:sz w:val="32"/>
          <w:szCs w:val="32"/>
        </w:rPr>
        <w:t>单位负责人：　　　</w:t>
      </w:r>
    </w:p>
    <w:p>
      <w:pPr>
        <w:spacing w:line="480" w:lineRule="exact"/>
        <w:rPr>
          <w:rFonts w:ascii="楷体" w:hAnsi="楷体" w:eastAsia="楷体" w:cs="楷体"/>
          <w:sz w:val="32"/>
          <w:szCs w:val="32"/>
        </w:rPr>
      </w:pPr>
      <w:r>
        <w:rPr>
          <w:rFonts w:hint="eastAsia" w:ascii="楷体" w:hAnsi="楷体" w:eastAsia="楷体" w:cs="楷体"/>
          <w:sz w:val="32"/>
          <w:szCs w:val="32"/>
        </w:rPr>
        <w:t>项目</w:t>
      </w:r>
      <w:r>
        <w:rPr>
          <w:rFonts w:hint="eastAsia" w:ascii="楷体" w:hAnsi="楷体" w:eastAsia="楷体" w:cs="楷体"/>
          <w:sz w:val="32"/>
          <w:szCs w:val="32"/>
          <w:lang w:eastAsia="zh-CN"/>
        </w:rPr>
        <w:t>支出</w:t>
      </w:r>
      <w:r>
        <w:rPr>
          <w:rFonts w:hint="eastAsia" w:ascii="楷体" w:hAnsi="楷体" w:eastAsia="楷体" w:cs="楷体"/>
          <w:sz w:val="32"/>
          <w:szCs w:val="32"/>
        </w:rPr>
        <w:t>负责人：　　　</w:t>
      </w:r>
    </w:p>
    <w:p>
      <w:pPr>
        <w:spacing w:line="480" w:lineRule="exact"/>
      </w:pPr>
      <w:r>
        <w:rPr>
          <w:rFonts w:hint="eastAsia" w:ascii="楷体" w:hAnsi="楷体" w:eastAsia="楷体" w:cs="楷体"/>
          <w:sz w:val="32"/>
          <w:szCs w:val="32"/>
        </w:rPr>
        <w:t>评价负责人：</w:t>
      </w:r>
    </w:p>
    <w:sectPr>
      <w:footerReference r:id="rId3" w:type="default"/>
      <w:footerReference r:id="rId4" w:type="even"/>
      <w:pgSz w:w="11905" w:h="16837"/>
      <w:pgMar w:top="2098" w:right="1361" w:bottom="1985" w:left="1361" w:header="720" w:footer="1701" w:gutter="284"/>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Fonts w:hint="eastAsia"/>
        <w:sz w:val="28"/>
      </w:rPr>
      <w:t>—</w:t>
    </w:r>
    <w:r>
      <w:rPr>
        <w:sz w:val="28"/>
      </w:rPr>
      <w:fldChar w:fldCharType="begin"/>
    </w:r>
    <w:r>
      <w:rPr>
        <w:rStyle w:val="8"/>
        <w:sz w:val="28"/>
      </w:rPr>
      <w:instrText xml:space="preserve">PAGE  </w:instrText>
    </w:r>
    <w:r>
      <w:rPr>
        <w:sz w:val="28"/>
      </w:rPr>
      <w:fldChar w:fldCharType="separate"/>
    </w:r>
    <w:r>
      <w:rPr>
        <w:rStyle w:val="8"/>
        <w:sz w:val="28"/>
      </w:rPr>
      <w:t>7</w:t>
    </w:r>
    <w:r>
      <w:rPr>
        <w:sz w:val="28"/>
      </w:rPr>
      <w:fldChar w:fldCharType="end"/>
    </w:r>
    <w:r>
      <w:rPr>
        <w:rStyle w:val="8"/>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6D"/>
    <w:rsid w:val="00027480"/>
    <w:rsid w:val="0002778D"/>
    <w:rsid w:val="000B2627"/>
    <w:rsid w:val="000F02B3"/>
    <w:rsid w:val="001B3EB8"/>
    <w:rsid w:val="001F62A8"/>
    <w:rsid w:val="002A7D15"/>
    <w:rsid w:val="00304854"/>
    <w:rsid w:val="0037519D"/>
    <w:rsid w:val="00470261"/>
    <w:rsid w:val="004C322C"/>
    <w:rsid w:val="004D12B3"/>
    <w:rsid w:val="00521601"/>
    <w:rsid w:val="00627398"/>
    <w:rsid w:val="00827F35"/>
    <w:rsid w:val="0089116D"/>
    <w:rsid w:val="008A3F74"/>
    <w:rsid w:val="00947F94"/>
    <w:rsid w:val="00A12A6C"/>
    <w:rsid w:val="00A163F9"/>
    <w:rsid w:val="00A84CE4"/>
    <w:rsid w:val="00AF3822"/>
    <w:rsid w:val="00B071E3"/>
    <w:rsid w:val="00B23AF1"/>
    <w:rsid w:val="00B61CC6"/>
    <w:rsid w:val="00BC01BB"/>
    <w:rsid w:val="00BF31DF"/>
    <w:rsid w:val="00C24E3E"/>
    <w:rsid w:val="00C70E9B"/>
    <w:rsid w:val="00C71E76"/>
    <w:rsid w:val="00C745D1"/>
    <w:rsid w:val="00CF606B"/>
    <w:rsid w:val="00D2155D"/>
    <w:rsid w:val="00D73D29"/>
    <w:rsid w:val="00DC7753"/>
    <w:rsid w:val="00DE72EA"/>
    <w:rsid w:val="00E04FF5"/>
    <w:rsid w:val="00E12F5D"/>
    <w:rsid w:val="00E2562C"/>
    <w:rsid w:val="00E43173"/>
    <w:rsid w:val="00F32EE8"/>
    <w:rsid w:val="00F716DA"/>
    <w:rsid w:val="00FE363D"/>
    <w:rsid w:val="02E66ED9"/>
    <w:rsid w:val="087E789A"/>
    <w:rsid w:val="0A400DB1"/>
    <w:rsid w:val="0F811861"/>
    <w:rsid w:val="1D292E27"/>
    <w:rsid w:val="22A81A83"/>
    <w:rsid w:val="24A9439A"/>
    <w:rsid w:val="2B3625B5"/>
    <w:rsid w:val="2B3D7A96"/>
    <w:rsid w:val="315B4602"/>
    <w:rsid w:val="3790261F"/>
    <w:rsid w:val="37E94CEE"/>
    <w:rsid w:val="38B34B32"/>
    <w:rsid w:val="38F53ECF"/>
    <w:rsid w:val="404D5359"/>
    <w:rsid w:val="41C9799F"/>
    <w:rsid w:val="463F3349"/>
    <w:rsid w:val="4C9C51D7"/>
    <w:rsid w:val="4CC153E3"/>
    <w:rsid w:val="4D651BD8"/>
    <w:rsid w:val="4DD01F2C"/>
    <w:rsid w:val="4E055C01"/>
    <w:rsid w:val="4F927292"/>
    <w:rsid w:val="54DC668E"/>
    <w:rsid w:val="577067F8"/>
    <w:rsid w:val="596B393A"/>
    <w:rsid w:val="59BF2347"/>
    <w:rsid w:val="5C1376B1"/>
    <w:rsid w:val="5CF53A3C"/>
    <w:rsid w:val="603B3733"/>
    <w:rsid w:val="61773296"/>
    <w:rsid w:val="630A642E"/>
    <w:rsid w:val="654A4C44"/>
    <w:rsid w:val="686F3B42"/>
    <w:rsid w:val="68851984"/>
    <w:rsid w:val="69F807CF"/>
    <w:rsid w:val="6D1371DB"/>
    <w:rsid w:val="6F912D2D"/>
    <w:rsid w:val="705A49A7"/>
    <w:rsid w:val="719C38E2"/>
    <w:rsid w:val="732F61DA"/>
    <w:rsid w:val="76A94D8F"/>
    <w:rsid w:val="76C018C2"/>
    <w:rsid w:val="795906D8"/>
    <w:rsid w:val="7A21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Char Char Char Char Char Char"/>
    <w:basedOn w:val="1"/>
    <w:qFormat/>
    <w:uiPriority w:val="0"/>
    <w:pPr>
      <w:adjustRightInd w:val="0"/>
    </w:pPr>
    <w:rPr>
      <w:rFonts w:ascii="Tahoma" w:hAnsi="Tahoma"/>
      <w:sz w:val="24"/>
      <w:szCs w:val="20"/>
    </w:rPr>
  </w:style>
  <w:style w:type="character" w:customStyle="1" w:styleId="1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75C98-BBE0-4C17-8467-C168C6D9ABC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14</Pages>
  <Words>897</Words>
  <Characters>5117</Characters>
  <Lines>42</Lines>
  <Paragraphs>12</Paragraphs>
  <TotalTime>15</TotalTime>
  <ScaleCrop>false</ScaleCrop>
  <LinksUpToDate>false</LinksUpToDate>
  <CharactersWithSpaces>6002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2018-03-05T09:02:00Z</dcterms:created>
  <dc:creator>李兰</dc:creator>
  <cp:lastModifiedBy>WPS_1486444059</cp:lastModifiedBy>
  <cp:lastPrinted>2021-06-30T02:56:29Z</cp:lastPrinted>
  <dcterms:modified xsi:type="dcterms:W3CDTF">2021-06-30T02:57:23Z</dcterms:modified>
  <dc:title>邵 阳 市 财 政 局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4A349631E05C485D840F635830C0B36E</vt:lpwstr>
  </property>
</Properties>
</file>