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  <w:lang w:eastAsia="zh-CN"/>
        </w:rPr>
        <w:t>项目</w:t>
      </w:r>
      <w:r>
        <w:rPr>
          <w:rFonts w:hint="eastAsia" w:ascii="黑体" w:eastAsia="黑体"/>
          <w:sz w:val="44"/>
          <w:szCs w:val="44"/>
        </w:rPr>
        <w:t>支出绩效自评报告表</w:t>
      </w:r>
    </w:p>
    <w:p>
      <w:pPr>
        <w:jc w:val="center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（主管部门用）</w:t>
      </w:r>
    </w:p>
    <w:p>
      <w:pPr>
        <w:spacing w:line="360" w:lineRule="auto"/>
        <w:rPr>
          <w:rFonts w:hint="default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填报部门：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邵阳市文旅广体局</w:t>
      </w:r>
      <w:r>
        <w:rPr>
          <w:rFonts w:hint="eastAsia" w:ascii="楷体" w:hAnsi="楷体" w:eastAsia="楷体" w:cs="楷体"/>
          <w:sz w:val="32"/>
          <w:szCs w:val="32"/>
        </w:rPr>
        <w:t>　　填报日期：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2022年9月16日</w:t>
      </w:r>
    </w:p>
    <w:tbl>
      <w:tblPr>
        <w:tblStyle w:val="6"/>
        <w:tblW w:w="91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7"/>
        <w:gridCol w:w="2493"/>
        <w:gridCol w:w="1440"/>
        <w:gridCol w:w="715"/>
        <w:gridCol w:w="1215"/>
        <w:gridCol w:w="570"/>
        <w:gridCol w:w="810"/>
        <w:gridCol w:w="1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基本情况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项目支出</w:t>
            </w:r>
            <w:r>
              <w:rPr>
                <w:rFonts w:hint="eastAsia" w:ascii="楷体" w:hAnsi="楷体" w:eastAsia="楷体" w:cs="楷体"/>
                <w:sz w:val="28"/>
              </w:rPr>
              <w:t>名称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hint="default" w:ascii="楷体" w:hAnsi="楷体" w:eastAsia="楷体" w:cs="楷体"/>
                <w:sz w:val="28"/>
              </w:rPr>
            </w:pPr>
            <w:r>
              <w:rPr>
                <w:rFonts w:hint="default" w:ascii="楷体" w:hAnsi="楷体" w:eastAsia="楷体" w:cs="楷体"/>
                <w:sz w:val="28"/>
                <w:szCs w:val="28"/>
                <w:lang w:eastAsia="zh-CN"/>
              </w:rPr>
              <w:t>国内游客抽样调查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项目支出</w:t>
            </w:r>
            <w:r>
              <w:rPr>
                <w:rFonts w:hint="eastAsia" w:ascii="楷体" w:hAnsi="楷体" w:eastAsia="楷体" w:cs="楷体"/>
                <w:sz w:val="28"/>
              </w:rPr>
              <w:t>主要内容</w:t>
            </w:r>
          </w:p>
        </w:tc>
        <w:tc>
          <w:tcPr>
            <w:tcW w:w="612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楷体" w:hAnsi="楷体" w:eastAsia="楷体" w:cs="楷体"/>
                <w:sz w:val="28"/>
                <w:lang w:eastAsia="zh-CN"/>
              </w:rPr>
            </w:pPr>
            <w:r>
              <w:rPr>
                <w:rFonts w:hint="default" w:ascii="楷体" w:hAnsi="楷体" w:eastAsia="楷体" w:cs="楷体"/>
                <w:sz w:val="28"/>
                <w:lang w:eastAsia="zh-CN"/>
              </w:rPr>
              <w:t>主要</w:t>
            </w:r>
            <w:r>
              <w:rPr>
                <w:rFonts w:hint="eastAsia" w:ascii="楷体" w:hAnsi="楷体" w:eastAsia="楷体" w:cs="楷体"/>
                <w:sz w:val="28"/>
                <w:lang w:eastAsia="zh-CN"/>
              </w:rPr>
              <w:t>用于调查工作的组织培训、被调查者的礼品购买及调查员的交通、误餐、劳务补助等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主管部门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邵阳市文化旅游广电体育局</w:t>
            </w:r>
            <w:r>
              <w:rPr>
                <w:rFonts w:hint="eastAsia" w:ascii="楷体" w:hAnsi="楷体" w:eastAsia="楷体" w:cs="楷体"/>
                <w:sz w:val="28"/>
              </w:rPr>
              <w:t>　　　　　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单位负责人</w:t>
            </w:r>
          </w:p>
        </w:tc>
        <w:tc>
          <w:tcPr>
            <w:tcW w:w="2155" w:type="dxa"/>
            <w:gridSpan w:val="2"/>
          </w:tcPr>
          <w:p>
            <w:pPr>
              <w:spacing w:line="540" w:lineRule="exact"/>
              <w:jc w:val="left"/>
              <w:rPr>
                <w:rFonts w:hint="default" w:ascii="楷体" w:hAnsi="楷体" w:eastAsia="楷体" w:cs="楷体"/>
                <w:sz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张映梅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项目支出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 w:val="28"/>
              </w:rPr>
              <w:t>负责人</w:t>
            </w:r>
          </w:p>
        </w:tc>
        <w:tc>
          <w:tcPr>
            <w:tcW w:w="2180" w:type="dxa"/>
            <w:gridSpan w:val="2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刘金雄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属性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　</w:t>
            </w:r>
            <w:r>
              <w:rPr>
                <w:rFonts w:hint="eastAsia" w:ascii="楷体" w:hAnsi="楷体" w:eastAsia="楷体" w:cs="楷体"/>
                <w:sz w:val="28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8"/>
              </w:rPr>
              <w:t>经常性　　□一次性　　□新建　　□续建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资金分配情况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分配区县（市）　　个；分配项目单位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sz w:val="28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资金总额及构成</w:t>
            </w:r>
          </w:p>
        </w:tc>
        <w:tc>
          <w:tcPr>
            <w:tcW w:w="6120" w:type="dxa"/>
            <w:gridSpan w:val="6"/>
          </w:tcPr>
          <w:p>
            <w:pPr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总额：</w:t>
            </w:r>
            <w:r>
              <w:rPr>
                <w:rFonts w:hint="default" w:ascii="楷体" w:hAnsi="楷体" w:eastAsia="楷体" w:cs="楷体"/>
                <w:sz w:val="24"/>
                <w:lang w:eastAsia="zh-CN"/>
              </w:rPr>
              <w:t>30</w:t>
            </w:r>
            <w:r>
              <w:rPr>
                <w:rFonts w:hint="eastAsia" w:ascii="楷体" w:hAnsi="楷体" w:eastAsia="楷体" w:cs="楷体"/>
                <w:sz w:val="24"/>
              </w:rPr>
              <w:t>万元，其中：省级财政　　万元；市级财政</w:t>
            </w:r>
            <w:r>
              <w:rPr>
                <w:rFonts w:hint="default" w:ascii="楷体" w:hAnsi="楷体" w:eastAsia="楷体" w:cs="楷体"/>
                <w:sz w:val="24"/>
                <w:lang w:eastAsia="zh-CN"/>
              </w:rPr>
              <w:t>30</w:t>
            </w:r>
            <w:r>
              <w:rPr>
                <w:rFonts w:hint="eastAsia" w:ascii="楷体" w:hAnsi="楷体" w:eastAsia="楷体" w:cs="楷体"/>
                <w:sz w:val="24"/>
              </w:rPr>
              <w:t>万元；区县　　万元；其他　　　万元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起止时间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202</w:t>
            </w:r>
            <w:r>
              <w:rPr>
                <w:rFonts w:hint="default" w:ascii="楷体" w:hAnsi="楷体" w:eastAsia="楷体" w:cs="楷体"/>
                <w:sz w:val="28"/>
                <w:lang w:eastAsia="zh-CN"/>
              </w:rPr>
              <w:t>1</w:t>
            </w:r>
            <w:r>
              <w:rPr>
                <w:rFonts w:hint="eastAsia" w:ascii="楷体" w:hAnsi="楷体" w:eastAsia="楷体" w:cs="楷体"/>
                <w:sz w:val="28"/>
              </w:rPr>
              <w:t>年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sz w:val="28"/>
              </w:rPr>
              <w:t>月起至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202</w:t>
            </w:r>
            <w:r>
              <w:rPr>
                <w:rFonts w:hint="default" w:ascii="楷体" w:hAnsi="楷体" w:eastAsia="楷体" w:cs="楷体"/>
                <w:sz w:val="28"/>
                <w:lang w:eastAsia="zh-CN"/>
              </w:rPr>
              <w:t>1</w:t>
            </w:r>
            <w:r>
              <w:rPr>
                <w:rFonts w:hint="eastAsia" w:ascii="楷体" w:hAnsi="楷体" w:eastAsia="楷体" w:cs="楷体"/>
                <w:sz w:val="28"/>
              </w:rPr>
              <w:t>年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12</w:t>
            </w:r>
            <w:r>
              <w:rPr>
                <w:rFonts w:hint="eastAsia" w:ascii="楷体" w:hAnsi="楷体" w:eastAsia="楷体" w:cs="楷体"/>
                <w:sz w:val="28"/>
              </w:rPr>
              <w:t>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5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组织管理情况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立项依据</w:t>
            </w:r>
          </w:p>
        </w:tc>
        <w:tc>
          <w:tcPr>
            <w:tcW w:w="612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《</w:t>
            </w:r>
            <w:r>
              <w:rPr>
                <w:rFonts w:hint="default" w:ascii="楷体" w:hAnsi="楷体" w:eastAsia="楷体" w:cs="楷体"/>
                <w:sz w:val="28"/>
                <w:szCs w:val="28"/>
                <w:lang w:eastAsia="zh-CN"/>
              </w:rPr>
              <w:t>统计法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》《文化和旅游统计管理办法》《全国文化文物和旅游统计调查制度》《湖南省文化文物和旅游统计调查制度》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可行性研究     报告结论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专家评审论证结论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jc w:val="left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是否实施政府采购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及采购金额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8"/>
              </w:rPr>
              <w:t xml:space="preserve">是　                    □否   </w:t>
            </w:r>
            <w:r>
              <w:rPr>
                <w:rFonts w:hint="eastAsia" w:ascii="楷体" w:hAnsi="楷体" w:eastAsia="楷体" w:cs="楷体"/>
                <w:sz w:val="28"/>
              </w:rPr>
              <w:br w:type="textWrapping"/>
            </w:r>
            <w:r>
              <w:rPr>
                <w:rFonts w:hint="eastAsia" w:ascii="楷体" w:hAnsi="楷体" w:eastAsia="楷体" w:cs="楷体"/>
                <w:sz w:val="28"/>
              </w:rPr>
              <w:t>应采购金额</w:t>
            </w:r>
            <w:r>
              <w:rPr>
                <w:rFonts w:hint="default" w:ascii="楷体" w:hAnsi="楷体" w:eastAsia="楷体" w:cs="楷体"/>
                <w:sz w:val="28"/>
                <w:lang w:eastAsia="zh-CN"/>
              </w:rPr>
              <w:t>30</w:t>
            </w:r>
            <w:r>
              <w:rPr>
                <w:rFonts w:hint="eastAsia" w:ascii="楷体" w:hAnsi="楷体" w:eastAsia="楷体" w:cs="楷体"/>
                <w:sz w:val="28"/>
              </w:rPr>
              <w:t>万元      实际采购金额</w:t>
            </w:r>
            <w:r>
              <w:rPr>
                <w:rFonts w:hint="default" w:ascii="楷体" w:hAnsi="楷体" w:eastAsia="楷体" w:cs="楷体"/>
                <w:sz w:val="28"/>
                <w:lang w:eastAsia="zh-CN"/>
              </w:rPr>
              <w:t>29</w:t>
            </w:r>
            <w:r>
              <w:rPr>
                <w:rFonts w:hint="eastAsia" w:ascii="楷体" w:hAnsi="楷体" w:eastAsia="楷体" w:cs="楷体"/>
                <w:sz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是否实行招投标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default" w:ascii="楷体" w:hAnsi="楷体" w:eastAsia="楷体" w:cs="楷体"/>
                <w:sz w:val="24"/>
                <w:lang w:eastAsia="zh-CN"/>
              </w:rPr>
              <w:t>□</w:t>
            </w:r>
            <w:r>
              <w:rPr>
                <w:rFonts w:hint="eastAsia" w:ascii="楷体" w:hAnsi="楷体" w:eastAsia="楷体" w:cs="楷体"/>
                <w:sz w:val="24"/>
              </w:rPr>
              <w:t xml:space="preserve">是  实行的   个项目  　 </w:t>
            </w:r>
            <w:r>
              <w:rPr>
                <w:rFonts w:hint="eastAsia" w:ascii="楷体" w:hAnsi="楷体" w:eastAsia="楷体" w:cs="楷体"/>
                <w:sz w:val="24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4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是否实行国库   集中支付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4"/>
              </w:rPr>
              <w:t>是  实行的   个项目 　　□否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是否实行工程代理制和投资评审制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</w:rPr>
              <w:t xml:space="preserve">□是  实行的   个项目　 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4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是否实行合同   管理制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4"/>
              </w:rPr>
              <w:t>是  实行的   个项目　 □否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是否实行财政双控账户管理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管理情况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</w:rPr>
              <w:t xml:space="preserve">□是  实行的   个项目　 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4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是否实行财政专户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管理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□</w:t>
            </w:r>
            <w:r>
              <w:rPr>
                <w:rFonts w:hint="eastAsia" w:ascii="楷体" w:hAnsi="楷体" w:eastAsia="楷体" w:cs="楷体"/>
                <w:sz w:val="24"/>
              </w:rPr>
              <w:t xml:space="preserve">是  实行的   个项目　 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4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44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项目监管情况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管理制度和     办法名称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ind w:left="80" w:leftChars="38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default" w:ascii="楷体" w:hAnsi="楷体" w:eastAsia="楷体" w:cs="楷体"/>
                <w:sz w:val="28"/>
                <w:szCs w:val="28"/>
                <w:lang w:eastAsia="zh-CN"/>
              </w:rPr>
              <w:t>相关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《</w:t>
            </w:r>
            <w:r>
              <w:rPr>
                <w:rFonts w:hint="default" w:ascii="楷体" w:hAnsi="楷体" w:eastAsia="楷体" w:cs="楷体"/>
                <w:sz w:val="28"/>
                <w:szCs w:val="28"/>
                <w:lang w:eastAsia="zh-CN"/>
              </w:rPr>
              <w:t>专项资金管理办法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具体工作措施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ind w:firstLine="120" w:firstLineChars="50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方案报局党组审核后实施</w:t>
            </w:r>
            <w:r>
              <w:rPr>
                <w:rFonts w:hint="eastAsia" w:ascii="楷体" w:hAnsi="楷体" w:eastAsia="楷体" w:cs="楷体"/>
                <w:sz w:val="24"/>
              </w:rPr>
              <w:t>。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调整内容及报批程序和手续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专项经费未做其他用途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完工验收情况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360" w:lineRule="exact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验收合格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监督检查情况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jc w:val="left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2" w:hRule="exact"/>
        </w:trPr>
        <w:tc>
          <w:tcPr>
            <w:tcW w:w="540" w:type="dxa"/>
            <w:vMerge w:val="restart"/>
          </w:tcPr>
          <w:p>
            <w:pPr>
              <w:spacing w:line="0" w:lineRule="atLeas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资金管理情况</w:t>
            </w:r>
          </w:p>
        </w:tc>
        <w:tc>
          <w:tcPr>
            <w:tcW w:w="25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资金使用管理</w:t>
            </w:r>
          </w:p>
        </w:tc>
        <w:tc>
          <w:tcPr>
            <w:tcW w:w="612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无虚列支出、截留挤占挪用、超标准开支、无超预算等。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5" w:hRule="exact"/>
        </w:trPr>
        <w:tc>
          <w:tcPr>
            <w:tcW w:w="54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财务管理制度</w:t>
            </w:r>
          </w:p>
        </w:tc>
        <w:tc>
          <w:tcPr>
            <w:tcW w:w="612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专项资金管理办法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exact"/>
        </w:trPr>
        <w:tc>
          <w:tcPr>
            <w:tcW w:w="540" w:type="dxa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 w:firstLine="840" w:firstLineChars="300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资金</w:t>
            </w:r>
            <w:r>
              <w:rPr>
                <w:rFonts w:hint="eastAsia" w:ascii="楷体" w:hAnsi="楷体" w:eastAsia="楷体" w:cs="楷体"/>
                <w:sz w:val="28"/>
              </w:rPr>
              <w:t>安排使用情况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内容</w:t>
            </w:r>
          </w:p>
        </w:tc>
        <w:tc>
          <w:tcPr>
            <w:tcW w:w="144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应到位资金（万元）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实际到位资金（万元）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实际支出（万元）</w:t>
            </w:r>
          </w:p>
        </w:tc>
        <w:tc>
          <w:tcPr>
            <w:tcW w:w="137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结余资金（万元）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中央财政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</w:trPr>
        <w:tc>
          <w:tcPr>
            <w:tcW w:w="5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省级财政</w:t>
            </w:r>
          </w:p>
        </w:tc>
        <w:tc>
          <w:tcPr>
            <w:tcW w:w="1440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</w:trPr>
        <w:tc>
          <w:tcPr>
            <w:tcW w:w="54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市级财政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eastAsia="zh-CN"/>
              </w:rPr>
            </w:pPr>
            <w:r>
              <w:rPr>
                <w:rFonts w:hint="default" w:ascii="楷体" w:hAnsi="楷体" w:eastAsia="楷体" w:cs="楷体"/>
                <w:sz w:val="28"/>
                <w:lang w:eastAsia="zh-CN"/>
              </w:rPr>
              <w:t>30</w:t>
            </w:r>
          </w:p>
        </w:tc>
        <w:tc>
          <w:tcPr>
            <w:tcW w:w="19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eastAsia="zh-CN"/>
              </w:rPr>
            </w:pPr>
            <w:r>
              <w:rPr>
                <w:rFonts w:hint="default" w:ascii="楷体" w:hAnsi="楷体" w:eastAsia="楷体" w:cs="楷体"/>
                <w:sz w:val="28"/>
                <w:lang w:eastAsia="zh-CN"/>
              </w:rPr>
              <w:t>30</w:t>
            </w:r>
          </w:p>
        </w:tc>
        <w:tc>
          <w:tcPr>
            <w:tcW w:w="13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eastAsia="zh-CN"/>
              </w:rPr>
            </w:pPr>
            <w:r>
              <w:rPr>
                <w:rFonts w:hint="default" w:ascii="楷体" w:hAnsi="楷体" w:eastAsia="楷体" w:cs="楷体"/>
                <w:sz w:val="28"/>
                <w:lang w:eastAsia="zh-CN"/>
              </w:rPr>
              <w:t>29</w:t>
            </w:r>
          </w:p>
        </w:tc>
        <w:tc>
          <w:tcPr>
            <w:tcW w:w="1370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</w:trPr>
        <w:tc>
          <w:tcPr>
            <w:tcW w:w="540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县（市区）资金</w:t>
            </w:r>
          </w:p>
        </w:tc>
        <w:tc>
          <w:tcPr>
            <w:tcW w:w="1440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其他配套资金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合　　计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eastAsia="zh-CN"/>
              </w:rPr>
            </w:pPr>
            <w:r>
              <w:rPr>
                <w:rFonts w:hint="default" w:ascii="楷体" w:hAnsi="楷体" w:eastAsia="楷体" w:cs="楷体"/>
                <w:sz w:val="28"/>
                <w:lang w:eastAsia="zh-CN"/>
              </w:rPr>
              <w:t>30</w:t>
            </w: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eastAsia="zh-CN"/>
              </w:rPr>
            </w:pPr>
            <w:r>
              <w:rPr>
                <w:rFonts w:hint="default" w:ascii="楷体" w:hAnsi="楷体" w:eastAsia="楷体" w:cs="楷体"/>
                <w:sz w:val="28"/>
                <w:lang w:eastAsia="zh-CN"/>
              </w:rPr>
              <w:t>30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eastAsia="zh-CN"/>
              </w:rPr>
            </w:pPr>
            <w:r>
              <w:rPr>
                <w:rFonts w:hint="default" w:ascii="楷体" w:hAnsi="楷体" w:eastAsia="楷体" w:cs="楷体"/>
                <w:sz w:val="28"/>
                <w:lang w:eastAsia="zh-CN"/>
              </w:rPr>
              <w:t>29</w:t>
            </w: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6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产出成果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ind w:firstLine="560" w:firstLineChars="200"/>
              <w:rPr>
                <w:rFonts w:hint="default" w:ascii="楷体" w:hAnsi="楷体" w:eastAsia="仿宋" w:cs="楷体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国内旅游抽样调查和住宿单位核查是纳入《湖南省文化文物和旅游统计调查制度》的统计调查项目，是测算旅游市场规模和结构的重要基础</w:t>
            </w:r>
            <w:r>
              <w:rPr>
                <w:rFonts w:hint="default" w:ascii="楷体" w:hAnsi="楷体" w:eastAsia="楷体" w:cs="楷体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调查结果用于旅游总人数和旅游收入的测算</w:t>
            </w:r>
            <w:r>
              <w:rPr>
                <w:rFonts w:hint="default" w:ascii="楷体" w:hAnsi="楷体" w:eastAsia="楷体" w:cs="楷体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产出效益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 w:firstLineChars="200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</w:p>
          <w:p>
            <w:pPr>
              <w:ind w:firstLine="560" w:firstLineChars="200"/>
              <w:rPr>
                <w:rFonts w:hint="default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进一步提升全</w:t>
            </w:r>
            <w:r>
              <w:rPr>
                <w:rFonts w:hint="default" w:ascii="楷体" w:hAnsi="楷体" w:eastAsia="楷体" w:cs="楷体"/>
                <w:sz w:val="28"/>
                <w:szCs w:val="28"/>
                <w:lang w:eastAsia="zh-CN"/>
              </w:rPr>
              <w:t>市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文化和旅游系统统计分析水平，切实增强文化和旅游统计工作的社会影响力，取得了较好的实践效果。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6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自评结论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00" w:firstLineChars="100"/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ind w:firstLine="300" w:firstLineChars="100"/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有效。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5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资金分配原则程序和方法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ind w:firstLine="600" w:firstLineChars="200"/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资金分配由部门提出，党组研究，财务按要求严格把关。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评价工作情况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　</w:t>
            </w:r>
          </w:p>
          <w:p>
            <w:pP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 xml:space="preserve">  </w:t>
            </w: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本部门本次绩效自评严格按照相关</w:t>
            </w: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已完工项目绩效自评工作的要求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组织实施。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问题与建议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　</w:t>
            </w:r>
          </w:p>
          <w:p>
            <w:pPr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 xml:space="preserve">  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说明：综合汇总各</w:t>
            </w: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单位的情况，反映项目资金分配使用管理和项目绩效方面存在的问题并深入分析，提出相应的改进措施和建议。</w:t>
            </w:r>
          </w:p>
        </w:tc>
      </w:tr>
    </w:tbl>
    <w:p>
      <w:pPr>
        <w:spacing w:line="480" w:lineRule="exact"/>
        <w:rPr>
          <w:sz w:val="28"/>
          <w:szCs w:val="28"/>
        </w:rPr>
      </w:pPr>
      <w:r>
        <w:rPr>
          <w:rFonts w:hint="eastAsia" w:ascii="仿宋" w:hAnsi="仿宋" w:eastAsia="仿宋" w:cs="仿宋"/>
        </w:rPr>
        <w:t>说明：各单位根据文字数量需要调整此表。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单位负责人：　　　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项目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支出</w:t>
      </w:r>
      <w:r>
        <w:rPr>
          <w:rFonts w:hint="eastAsia" w:ascii="楷体" w:hAnsi="楷体" w:eastAsia="楷体" w:cs="楷体"/>
          <w:sz w:val="32"/>
          <w:szCs w:val="32"/>
        </w:rPr>
        <w:t>负责人：　　　</w:t>
      </w:r>
    </w:p>
    <w:p>
      <w:pPr>
        <w:spacing w:line="480" w:lineRule="exact"/>
      </w:pPr>
      <w:r>
        <w:rPr>
          <w:rFonts w:hint="eastAsia" w:ascii="楷体" w:hAnsi="楷体" w:eastAsia="楷体" w:cs="楷体"/>
          <w:sz w:val="32"/>
          <w:szCs w:val="32"/>
        </w:rPr>
        <w:t>评价负责人：</w:t>
      </w:r>
    </w:p>
    <w:sectPr>
      <w:footerReference r:id="rId3" w:type="default"/>
      <w:footerReference r:id="rId4" w:type="even"/>
      <w:pgSz w:w="11905" w:h="16837"/>
      <w:pgMar w:top="2098" w:right="1361" w:bottom="1985" w:left="1361" w:header="720" w:footer="1701" w:gutter="284"/>
      <w:pgNumType w:start="1"/>
      <w:cols w:space="720" w:num="1"/>
      <w:titlePg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Wingdings 2">
    <w:altName w:val="方正宋体S-超大字符集(SIP)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rPr>
        <w:rStyle w:val="8"/>
        <w:rFonts w:hint="eastAsia"/>
        <w:sz w:val="28"/>
      </w:rPr>
      <w:t>—</w:t>
    </w:r>
    <w:r>
      <w:rPr>
        <w:sz w:val="28"/>
      </w:rPr>
      <w:fldChar w:fldCharType="begin"/>
    </w:r>
    <w:r>
      <w:rPr>
        <w:rStyle w:val="8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8"/>
        <w:sz w:val="28"/>
      </w:rPr>
      <w:t>7</w:t>
    </w:r>
    <w:r>
      <w:rPr>
        <w:sz w:val="28"/>
      </w:rPr>
      <w:fldChar w:fldCharType="end"/>
    </w:r>
    <w:r>
      <w:rPr>
        <w:rStyle w:val="8"/>
        <w:rFonts w:hint="eastAsia"/>
        <w:sz w:val="28"/>
      </w:rPr>
      <w:t>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6D"/>
    <w:rsid w:val="00027480"/>
    <w:rsid w:val="0002778D"/>
    <w:rsid w:val="000B2627"/>
    <w:rsid w:val="000F02B3"/>
    <w:rsid w:val="001B3EB8"/>
    <w:rsid w:val="001F62A8"/>
    <w:rsid w:val="002A7D15"/>
    <w:rsid w:val="00304854"/>
    <w:rsid w:val="0037519D"/>
    <w:rsid w:val="00470261"/>
    <w:rsid w:val="004C322C"/>
    <w:rsid w:val="004D12B3"/>
    <w:rsid w:val="00521601"/>
    <w:rsid w:val="00627398"/>
    <w:rsid w:val="00827F35"/>
    <w:rsid w:val="0089116D"/>
    <w:rsid w:val="008A3F74"/>
    <w:rsid w:val="00947F94"/>
    <w:rsid w:val="00A12A6C"/>
    <w:rsid w:val="00A163F9"/>
    <w:rsid w:val="00A84CE4"/>
    <w:rsid w:val="00AF3822"/>
    <w:rsid w:val="00B071E3"/>
    <w:rsid w:val="00B23AF1"/>
    <w:rsid w:val="00B61CC6"/>
    <w:rsid w:val="00BC01BB"/>
    <w:rsid w:val="00BF31DF"/>
    <w:rsid w:val="00C24E3E"/>
    <w:rsid w:val="00C70E9B"/>
    <w:rsid w:val="00C71E76"/>
    <w:rsid w:val="00C745D1"/>
    <w:rsid w:val="00CF606B"/>
    <w:rsid w:val="00D2155D"/>
    <w:rsid w:val="00DC7753"/>
    <w:rsid w:val="00DE72EA"/>
    <w:rsid w:val="00E04FF5"/>
    <w:rsid w:val="00E12F5D"/>
    <w:rsid w:val="00E2562C"/>
    <w:rsid w:val="00E43173"/>
    <w:rsid w:val="00F32EE8"/>
    <w:rsid w:val="00F716DA"/>
    <w:rsid w:val="00FE363D"/>
    <w:rsid w:val="02E66ED9"/>
    <w:rsid w:val="061F22AF"/>
    <w:rsid w:val="0A400DB1"/>
    <w:rsid w:val="0F811861"/>
    <w:rsid w:val="2B3625B5"/>
    <w:rsid w:val="30CB30F0"/>
    <w:rsid w:val="315B4602"/>
    <w:rsid w:val="3790261F"/>
    <w:rsid w:val="37E94CEE"/>
    <w:rsid w:val="38B34B32"/>
    <w:rsid w:val="38F53ECF"/>
    <w:rsid w:val="3EF7574A"/>
    <w:rsid w:val="404D5359"/>
    <w:rsid w:val="463F3349"/>
    <w:rsid w:val="4C9C51D7"/>
    <w:rsid w:val="4DD01F2C"/>
    <w:rsid w:val="4E055C01"/>
    <w:rsid w:val="4F927292"/>
    <w:rsid w:val="533A1F1C"/>
    <w:rsid w:val="577067F8"/>
    <w:rsid w:val="596B393A"/>
    <w:rsid w:val="59BF2347"/>
    <w:rsid w:val="5C1376B1"/>
    <w:rsid w:val="5CF53A3C"/>
    <w:rsid w:val="5E4F9003"/>
    <w:rsid w:val="603B3733"/>
    <w:rsid w:val="61773296"/>
    <w:rsid w:val="630A642E"/>
    <w:rsid w:val="654A4C44"/>
    <w:rsid w:val="677A254A"/>
    <w:rsid w:val="686F3B42"/>
    <w:rsid w:val="68851984"/>
    <w:rsid w:val="6F912D2D"/>
    <w:rsid w:val="6FAA3960"/>
    <w:rsid w:val="705A49A7"/>
    <w:rsid w:val="732F61DA"/>
    <w:rsid w:val="76C018C2"/>
    <w:rsid w:val="795906D8"/>
    <w:rsid w:val="D7F7BE42"/>
    <w:rsid w:val="D7FF110C"/>
    <w:rsid w:val="FAFFEF2A"/>
    <w:rsid w:val="FBD6E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paragraph" w:customStyle="1" w:styleId="9">
    <w:name w:val="Char Char Char Char Char Char"/>
    <w:basedOn w:val="1"/>
    <w:qFormat/>
    <w:uiPriority w:val="0"/>
    <w:pPr>
      <w:adjustRightInd w:val="0"/>
    </w:pPr>
    <w:rPr>
      <w:rFonts w:ascii="Tahoma" w:hAnsi="Tahoma"/>
      <w:sz w:val="24"/>
      <w:szCs w:val="20"/>
    </w:rPr>
  </w:style>
  <w:style w:type="character" w:customStyle="1" w:styleId="10">
    <w:name w:val="页眉 Char"/>
    <w:basedOn w:val="7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14</Pages>
  <Words>897</Words>
  <Characters>5117</Characters>
  <Lines>42</Lines>
  <Paragraphs>12</Paragraphs>
  <TotalTime>3</TotalTime>
  <ScaleCrop>false</ScaleCrop>
  <LinksUpToDate>false</LinksUpToDate>
  <CharactersWithSpaces>6002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2018-03-06T17:02:00Z</dcterms:created>
  <dc:creator>李兰</dc:creator>
  <cp:lastModifiedBy>admin</cp:lastModifiedBy>
  <cp:lastPrinted>2021-06-17T17:10:00Z</cp:lastPrinted>
  <dcterms:modified xsi:type="dcterms:W3CDTF">2022-09-30T10:39:40Z</dcterms:modified>
  <dc:title>邵 阳 市 财 政 局 文 件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0FAD80D570F146F1A12397DBE9C54DAD</vt:lpwstr>
  </property>
</Properties>
</file>