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项目支出绩效自评报告表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ind w:firstLine="320" w:firstLineChars="100"/>
        <w:rPr>
          <w:rFonts w:hint="default" w:ascii="楷体" w:hAnsi="楷体" w:eastAsia="楷体" w:cs="楷体"/>
          <w:sz w:val="32"/>
          <w:szCs w:val="32"/>
          <w:lang w:val="en-US" w:eastAsia="zh-CN"/>
        </w:rPr>
      </w:pPr>
      <w:r>
        <w:rPr>
          <w:rFonts w:hint="eastAsia" w:ascii="楷体" w:hAnsi="楷体" w:eastAsia="楷体" w:cs="楷体"/>
          <w:sz w:val="32"/>
          <w:szCs w:val="32"/>
        </w:rPr>
        <w:t>填报部门：</w:t>
      </w:r>
      <w:r>
        <w:rPr>
          <w:rFonts w:hint="eastAsia" w:ascii="楷体" w:hAnsi="楷体" w:eastAsia="楷体" w:cs="楷体"/>
          <w:sz w:val="32"/>
          <w:szCs w:val="32"/>
          <w:lang w:eastAsia="zh-CN"/>
        </w:rPr>
        <w:t>邵阳市文旅广体局</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2022年9月16日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项目支出名称</w:t>
            </w:r>
          </w:p>
        </w:tc>
        <w:tc>
          <w:tcPr>
            <w:tcW w:w="6120" w:type="dxa"/>
            <w:gridSpan w:val="6"/>
          </w:tcPr>
          <w:p>
            <w:pPr>
              <w:spacing w:line="540" w:lineRule="exact"/>
              <w:jc w:val="left"/>
              <w:rPr>
                <w:rFonts w:ascii="楷体" w:hAnsi="楷体" w:eastAsia="楷体" w:cs="楷体"/>
                <w:sz w:val="24"/>
              </w:rPr>
            </w:pPr>
            <w:r>
              <w:rPr>
                <w:rFonts w:hint="eastAsia" w:ascii="仿宋_GB2312" w:eastAsia="仿宋_GB2312"/>
                <w:sz w:val="24"/>
              </w:rPr>
              <w:t>202</w:t>
            </w:r>
            <w:r>
              <w:rPr>
                <w:rFonts w:hint="eastAsia" w:ascii="仿宋_GB2312" w:eastAsia="仿宋_GB2312"/>
                <w:sz w:val="24"/>
                <w:lang w:val="en-US" w:eastAsia="zh-CN"/>
              </w:rPr>
              <w:t>1</w:t>
            </w:r>
            <w:r>
              <w:rPr>
                <w:rFonts w:hint="eastAsia" w:ascii="仿宋_GB2312" w:eastAsia="仿宋_GB2312"/>
                <w:sz w:val="24"/>
              </w:rPr>
              <w:t>年度“三区”人才支持计划文化工作者项目经费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rPr>
              <w:t>项目支出主要内容</w:t>
            </w:r>
          </w:p>
        </w:tc>
        <w:tc>
          <w:tcPr>
            <w:tcW w:w="6120" w:type="dxa"/>
            <w:gridSpan w:val="6"/>
          </w:tcPr>
          <w:p>
            <w:pPr>
              <w:spacing w:line="400" w:lineRule="exact"/>
              <w:jc w:val="left"/>
              <w:rPr>
                <w:rFonts w:ascii="楷体" w:hAnsi="楷体" w:eastAsia="楷体" w:cs="楷体"/>
                <w:szCs w:val="21"/>
              </w:rPr>
            </w:pPr>
            <w:r>
              <w:rPr>
                <w:rFonts w:hint="eastAsia" w:ascii="仿宋_GB2312" w:eastAsia="仿宋_GB2312"/>
                <w:szCs w:val="21"/>
              </w:rPr>
              <w:t>此经费只能用于选派人员到艰苦地区的工作补助、交通差旅费用、保险及培训费用等，必须</w:t>
            </w:r>
            <w:r>
              <w:rPr>
                <w:rFonts w:hint="eastAsia" w:ascii="仿宋_GB2312" w:hAnsi="宋体" w:eastAsia="仿宋_GB2312"/>
                <w:szCs w:val="21"/>
              </w:rPr>
              <w:t>专款专用，不得挪作他用。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vAlign w:val="center"/>
          </w:tcPr>
          <w:p>
            <w:pPr>
              <w:spacing w:line="540" w:lineRule="exact"/>
              <w:jc w:val="center"/>
              <w:rPr>
                <w:rFonts w:ascii="楷体" w:hAnsi="楷体" w:eastAsia="楷体" w:cs="楷体"/>
                <w:sz w:val="28"/>
              </w:rPr>
            </w:pPr>
            <w:r>
              <w:rPr>
                <w:rFonts w:hint="eastAsia" w:ascii="楷体" w:hAnsi="楷体" w:eastAsia="楷体" w:cs="楷体"/>
                <w:sz w:val="28"/>
              </w:rPr>
              <w:t>邵阳市文化旅游广电体育局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ascii="楷体" w:hAnsi="楷体" w:eastAsia="楷体" w:cs="楷体"/>
                <w:sz w:val="28"/>
              </w:rPr>
            </w:pPr>
            <w:r>
              <w:rPr>
                <w:rFonts w:hint="eastAsia" w:ascii="楷体" w:hAnsi="楷体" w:eastAsia="楷体" w:cs="楷体"/>
                <w:sz w:val="28"/>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rPr>
              <w:t>项目支出  负责人</w:t>
            </w:r>
          </w:p>
        </w:tc>
        <w:tc>
          <w:tcPr>
            <w:tcW w:w="2180" w:type="dxa"/>
            <w:gridSpan w:val="2"/>
          </w:tcPr>
          <w:p>
            <w:pPr>
              <w:spacing w:line="540" w:lineRule="exact"/>
              <w:jc w:val="left"/>
              <w:rPr>
                <w:rFonts w:ascii="楷体" w:hAnsi="楷体" w:eastAsia="楷体" w:cs="楷体"/>
                <w:sz w:val="28"/>
              </w:rPr>
            </w:pPr>
            <w:r>
              <w:rPr>
                <w:rFonts w:hint="eastAsia" w:ascii="楷体" w:hAnsi="楷体" w:eastAsia="楷体" w:cs="楷体"/>
                <w:sz w:val="28"/>
              </w:rPr>
              <w:t>郑小娟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总额：17万元，其中：省级财政17万元；市级财政17　 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202</w:t>
            </w:r>
            <w:r>
              <w:rPr>
                <w:rFonts w:hint="eastAsia" w:ascii="楷体" w:hAnsi="楷体" w:eastAsia="楷体" w:cs="楷体"/>
                <w:sz w:val="28"/>
                <w:lang w:val="en-US" w:eastAsia="zh-CN"/>
              </w:rPr>
              <w:t>1</w:t>
            </w:r>
            <w:r>
              <w:rPr>
                <w:rFonts w:hint="eastAsia" w:ascii="楷体" w:hAnsi="楷体" w:eastAsia="楷体" w:cs="楷体"/>
                <w:sz w:val="28"/>
              </w:rPr>
              <w:t>　年　1　月起至　202</w:t>
            </w:r>
            <w:r>
              <w:rPr>
                <w:rFonts w:hint="eastAsia" w:ascii="楷体" w:hAnsi="楷体" w:eastAsia="楷体" w:cs="楷体"/>
                <w:sz w:val="28"/>
                <w:lang w:val="en-US" w:eastAsia="zh-CN"/>
              </w:rPr>
              <w:t>1</w:t>
            </w:r>
            <w:r>
              <w:rPr>
                <w:rFonts w:hint="eastAsia" w:ascii="楷体" w:hAnsi="楷体" w:eastAsia="楷体" w:cs="楷体"/>
                <w:sz w:val="28"/>
              </w:rPr>
              <w:t>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项目立项依据</w:t>
            </w:r>
          </w:p>
        </w:tc>
        <w:tc>
          <w:tcPr>
            <w:tcW w:w="6120" w:type="dxa"/>
            <w:gridSpan w:val="6"/>
          </w:tcPr>
          <w:p>
            <w:pPr>
              <w:spacing w:line="360" w:lineRule="auto"/>
              <w:rPr>
                <w:rFonts w:ascii="楷体" w:hAnsi="楷体" w:eastAsia="楷体" w:cs="楷体"/>
                <w:sz w:val="28"/>
              </w:rPr>
            </w:pPr>
            <w:r>
              <w:rPr>
                <w:rFonts w:hint="eastAsia" w:ascii="楷体" w:hAnsi="楷体" w:eastAsia="楷体" w:cs="楷体"/>
                <w:sz w:val="24"/>
                <w:lang w:val="en-US" w:eastAsia="zh-CN"/>
              </w:rPr>
              <w:t>文旅部办公厅、财政部办公厅办人发</w:t>
            </w:r>
            <w:r>
              <w:rPr>
                <w:rFonts w:hint="eastAsia" w:ascii="楷体" w:hAnsi="楷体" w:eastAsia="楷体" w:cs="楷体"/>
                <w:sz w:val="24"/>
              </w:rPr>
              <w:t>﹝202</w:t>
            </w:r>
            <w:r>
              <w:rPr>
                <w:rFonts w:hint="eastAsia" w:ascii="楷体" w:hAnsi="楷体" w:eastAsia="楷体" w:cs="楷体"/>
                <w:sz w:val="24"/>
                <w:lang w:val="en-US" w:eastAsia="zh-CN"/>
              </w:rPr>
              <w:t>1</w:t>
            </w:r>
            <w:r>
              <w:rPr>
                <w:rFonts w:hint="eastAsia" w:ascii="楷体" w:hAnsi="楷体" w:eastAsia="楷体" w:cs="楷体"/>
                <w:sz w:val="24"/>
              </w:rPr>
              <w:t>﹞</w:t>
            </w:r>
            <w:r>
              <w:rPr>
                <w:rFonts w:hint="eastAsia" w:ascii="楷体" w:hAnsi="楷体" w:eastAsia="楷体" w:cs="楷体"/>
                <w:sz w:val="24"/>
                <w:lang w:val="en-US" w:eastAsia="zh-CN"/>
              </w:rPr>
              <w:t>215</w:t>
            </w:r>
            <w:r>
              <w:rPr>
                <w:rFonts w:hint="eastAsia" w:ascii="楷体" w:hAnsi="楷体" w:eastAsia="楷体" w:cs="楷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spacing w:line="360" w:lineRule="auto"/>
              <w:rPr>
                <w:rFonts w:hint="eastAsia" w:ascii="楷体" w:hAnsi="楷体" w:eastAsia="楷体" w:cs="楷体"/>
                <w:sz w:val="24"/>
                <w:lang w:eastAsia="zh-CN"/>
              </w:rPr>
            </w:pPr>
            <w:r>
              <w:rPr>
                <w:rFonts w:hint="eastAsia" w:ascii="楷体" w:hAnsi="楷体" w:eastAsia="楷体" w:cs="楷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注明是否有汇总的专家评审论证结论和内容以及分项的专家评审论证情况。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t xml:space="preserve">□是　                    ■否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r>
              <w:rPr>
                <w:rFonts w:hint="eastAsia" w:ascii="楷体" w:hAnsi="楷体" w:eastAsia="楷体" w:cs="楷体"/>
                <w:sz w:val="24"/>
              </w:rPr>
              <w:t>严格按照</w:t>
            </w:r>
            <w:r>
              <w:rPr>
                <w:rFonts w:hint="eastAsia" w:ascii="楷体" w:hAnsi="楷体" w:eastAsia="楷体" w:cs="楷体"/>
                <w:sz w:val="24"/>
                <w:lang w:val="en-US" w:eastAsia="zh-CN"/>
              </w:rPr>
              <w:t>文旅部、财政部</w:t>
            </w:r>
            <w:r>
              <w:rPr>
                <w:rFonts w:hint="eastAsia" w:ascii="楷体" w:hAnsi="楷体" w:eastAsia="楷体" w:cs="楷体"/>
                <w:sz w:val="24"/>
              </w:rPr>
              <w:t>文件相关规定执行，专款专用。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400" w:lineRule="exact"/>
              <w:jc w:val="left"/>
              <w:rPr>
                <w:rFonts w:ascii="楷体" w:hAnsi="楷体" w:eastAsia="楷体" w:cs="楷体"/>
                <w:sz w:val="24"/>
              </w:rPr>
            </w:pPr>
            <w:r>
              <w:rPr>
                <w:rFonts w:hint="eastAsia" w:ascii="楷体" w:hAnsi="楷体" w:eastAsia="楷体" w:cs="楷体"/>
                <w:sz w:val="24"/>
              </w:rPr>
              <w:t>经费用于我市选派的17名优秀文化工作者到各受援县的工作补助、交通差旅费用、保险及培训费用等开支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专项经费未做其他用途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项目完工验收情况</w:t>
            </w:r>
          </w:p>
        </w:tc>
        <w:tc>
          <w:tcPr>
            <w:tcW w:w="6120" w:type="dxa"/>
            <w:gridSpan w:val="6"/>
            <w:vAlign w:val="center"/>
          </w:tcPr>
          <w:p>
            <w:pPr>
              <w:spacing w:line="360" w:lineRule="exact"/>
              <w:rPr>
                <w:rFonts w:ascii="楷体" w:hAnsi="楷体" w:eastAsia="楷体" w:cs="楷体"/>
                <w:sz w:val="24"/>
              </w:rPr>
            </w:pPr>
            <w:r>
              <w:rPr>
                <w:rFonts w:hint="eastAsia" w:ascii="楷体" w:hAnsi="楷体" w:eastAsia="楷体" w:cs="楷体"/>
                <w:sz w:val="24"/>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项目监督检查情况</w:t>
            </w:r>
          </w:p>
        </w:tc>
        <w:tc>
          <w:tcPr>
            <w:tcW w:w="6120" w:type="dxa"/>
            <w:gridSpan w:val="6"/>
          </w:tcPr>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pacing w:val="-10"/>
                <w:sz w:val="24"/>
              </w:rPr>
            </w:pPr>
            <w:r>
              <w:rPr>
                <w:rFonts w:hint="eastAsia" w:ascii="楷体" w:hAnsi="楷体" w:eastAsia="楷体" w:cs="楷体"/>
                <w:spacing w:val="-10"/>
                <w:sz w:val="24"/>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spacing w:line="560" w:lineRule="exact"/>
              <w:rPr>
                <w:rFonts w:ascii="楷体" w:hAnsi="楷体" w:eastAsia="楷体" w:cs="楷体"/>
                <w:sz w:val="24"/>
              </w:rPr>
            </w:pPr>
            <w:r>
              <w:rPr>
                <w:rFonts w:hint="eastAsia" w:ascii="楷体" w:hAnsi="楷体" w:eastAsia="楷体" w:cs="楷体"/>
                <w:sz w:val="24"/>
              </w:rPr>
              <w:t>专项资金，专款专用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rPr>
              <w:t>资金安排使用情况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17</w:t>
            </w:r>
          </w:p>
        </w:tc>
        <w:tc>
          <w:tcPr>
            <w:tcW w:w="193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17</w:t>
            </w:r>
          </w:p>
        </w:tc>
        <w:tc>
          <w:tcPr>
            <w:tcW w:w="138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17</w:t>
            </w:r>
          </w:p>
        </w:tc>
        <w:tc>
          <w:tcPr>
            <w:tcW w:w="1370" w:type="dxa"/>
            <w:vAlign w:val="center"/>
          </w:tcPr>
          <w:p>
            <w:pPr>
              <w:spacing w:line="560" w:lineRule="exact"/>
              <w:jc w:val="center"/>
              <w:rPr>
                <w:rFonts w:hint="eastAsia" w:ascii="楷体" w:hAnsi="楷体" w:eastAsia="楷体" w:cs="楷体"/>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17</w:t>
            </w:r>
          </w:p>
        </w:tc>
        <w:tc>
          <w:tcPr>
            <w:tcW w:w="193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17</w:t>
            </w:r>
          </w:p>
        </w:tc>
        <w:tc>
          <w:tcPr>
            <w:tcW w:w="138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17</w:t>
            </w:r>
          </w:p>
        </w:tc>
        <w:tc>
          <w:tcPr>
            <w:tcW w:w="1370" w:type="dxa"/>
            <w:tcBorders>
              <w:bottom w:val="single" w:color="auto" w:sz="4" w:space="0"/>
            </w:tcBorders>
            <w:vAlign w:val="center"/>
          </w:tcPr>
          <w:p>
            <w:pPr>
              <w:spacing w:line="560" w:lineRule="exact"/>
              <w:jc w:val="center"/>
              <w:rPr>
                <w:rFonts w:hint="eastAsia" w:ascii="楷体" w:hAnsi="楷体" w:eastAsia="楷体" w:cs="楷体"/>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ascii="楷体" w:hAnsi="楷体" w:eastAsia="楷体" w:cs="楷体"/>
                <w:sz w:val="28"/>
              </w:rPr>
            </w:pPr>
            <w:r>
              <w:rPr>
                <w:rFonts w:hint="eastAsia" w:ascii="楷体" w:hAnsi="楷体" w:eastAsia="楷体" w:cs="楷体"/>
                <w:sz w:val="28"/>
              </w:rPr>
              <w:t>34</w:t>
            </w:r>
          </w:p>
        </w:tc>
        <w:tc>
          <w:tcPr>
            <w:tcW w:w="193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34</w:t>
            </w:r>
          </w:p>
        </w:tc>
        <w:tc>
          <w:tcPr>
            <w:tcW w:w="138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34</w:t>
            </w:r>
            <w:bookmarkStart w:id="0" w:name="_GoBack"/>
            <w:bookmarkEnd w:id="0"/>
          </w:p>
        </w:tc>
        <w:tc>
          <w:tcPr>
            <w:tcW w:w="1370" w:type="dxa"/>
            <w:vAlign w:val="center"/>
          </w:tcPr>
          <w:p>
            <w:pPr>
              <w:spacing w:line="560" w:lineRule="exact"/>
              <w:jc w:val="center"/>
              <w:rPr>
                <w:rFonts w:hint="eastAsia" w:ascii="楷体" w:hAnsi="楷体" w:eastAsia="楷体" w:cs="楷体"/>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snapToGrid w:val="0"/>
              <w:spacing w:line="372" w:lineRule="auto"/>
              <w:rPr>
                <w:rFonts w:ascii="仿宋" w:hAnsi="仿宋" w:eastAsia="仿宋" w:cs="楷体"/>
                <w:sz w:val="30"/>
                <w:szCs w:val="30"/>
              </w:rPr>
            </w:pPr>
            <w:r>
              <w:rPr>
                <w:rFonts w:hint="eastAsia" w:ascii="仿宋" w:hAnsi="仿宋" w:eastAsia="仿宋" w:cs="楷体"/>
                <w:sz w:val="30"/>
                <w:szCs w:val="30"/>
              </w:rPr>
              <w:t>选派17名优秀文化工作者奔赴8个受援县，每人每月开展不少于3次的群众文化、戏曲表演、音乐教学、图书管理指导等专题培训，帮助提高各受援县的公共文化服务水平。</w:t>
            </w:r>
            <w:r>
              <w:rPr>
                <w:rFonts w:ascii="仿宋" w:hAnsi="仿宋" w:eastAsia="仿宋" w:cs="楷体"/>
                <w:sz w:val="30"/>
                <w:szCs w:val="3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spacing w:line="520" w:lineRule="exact"/>
              <w:jc w:val="left"/>
              <w:rPr>
                <w:rFonts w:ascii="仿宋" w:hAnsi="仿宋" w:eastAsia="仿宋" w:cs="楷体"/>
                <w:sz w:val="30"/>
                <w:szCs w:val="30"/>
              </w:rPr>
            </w:pPr>
            <w:r>
              <w:rPr>
                <w:rFonts w:hint="eastAsia" w:ascii="仿宋" w:hAnsi="仿宋" w:eastAsia="仿宋"/>
                <w:sz w:val="32"/>
                <w:szCs w:val="32"/>
              </w:rPr>
              <w:t>充分听取受援单位意见，注重各受援单位的需求，统筹兼顾选派受援单位急需的、符合要求的优秀文化工作者，切实帮助受援单位解决实际问题，提高公共文化服务水平，建设一支高素质的文化工作者队伍，丰富受援县当地群众百姓的公共文化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1"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300" w:firstLineChars="100"/>
              <w:rPr>
                <w:rFonts w:ascii="楷体" w:hAnsi="楷体" w:eastAsia="楷体" w:cs="楷体"/>
                <w:sz w:val="30"/>
                <w:szCs w:val="30"/>
              </w:rPr>
            </w:pPr>
            <w:r>
              <w:rPr>
                <w:rFonts w:hint="eastAsia" w:ascii="楷体" w:hAnsi="楷体" w:eastAsia="楷体" w:cs="楷体"/>
                <w:sz w:val="30"/>
                <w:szCs w:val="30"/>
              </w:rPr>
              <w:t>综合分析评论结果：有效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spacing w:line="520" w:lineRule="exact"/>
              <w:rPr>
                <w:rFonts w:ascii="仿宋" w:hAnsi="仿宋" w:eastAsia="仿宋" w:cs="楷体"/>
                <w:sz w:val="32"/>
                <w:szCs w:val="32"/>
              </w:rPr>
            </w:pPr>
          </w:p>
          <w:p>
            <w:pPr>
              <w:spacing w:line="520" w:lineRule="exact"/>
              <w:jc w:val="left"/>
              <w:rPr>
                <w:rFonts w:ascii="仿宋" w:hAnsi="仿宋" w:eastAsia="仿宋" w:cs="楷体"/>
                <w:sz w:val="32"/>
                <w:szCs w:val="32"/>
              </w:rPr>
            </w:pPr>
            <w:r>
              <w:rPr>
                <w:rFonts w:hint="eastAsia" w:ascii="仿宋" w:hAnsi="仿宋" w:eastAsia="仿宋" w:cs="楷体"/>
                <w:sz w:val="32"/>
                <w:szCs w:val="32"/>
              </w:rPr>
              <w:t>本主管部门严格按照省厅要求执行实施项目资金分配的基本原则、程序和方法。按程序对项目进行申报情况，并实行公开申报；部门对项目进行严格审核，</w:t>
            </w:r>
            <w:r>
              <w:rPr>
                <w:rFonts w:ascii="仿宋" w:hAnsi="仿宋" w:eastAsia="仿宋" w:cs="楷体"/>
                <w:sz w:val="32"/>
                <w:szCs w:val="32"/>
              </w:rPr>
              <w:t xml:space="preserve"> </w:t>
            </w:r>
            <w:r>
              <w:rPr>
                <w:rFonts w:hint="eastAsia" w:ascii="仿宋" w:hAnsi="仿宋" w:eastAsia="仿宋" w:cs="楷体"/>
                <w:sz w:val="32"/>
                <w:szCs w:val="32"/>
              </w:rPr>
              <w:t>专款专用，没有挪作他用。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spacing w:line="520" w:lineRule="exact"/>
              <w:rPr>
                <w:rFonts w:ascii="仿宋" w:hAnsi="仿宋" w:eastAsia="仿宋" w:cs="楷体"/>
                <w:sz w:val="32"/>
                <w:szCs w:val="32"/>
              </w:rPr>
            </w:pPr>
            <w:r>
              <w:rPr>
                <w:rFonts w:hint="eastAsia" w:ascii="仿宋" w:hAnsi="仿宋" w:eastAsia="仿宋" w:cs="楷体"/>
                <w:sz w:val="32"/>
                <w:szCs w:val="32"/>
              </w:rPr>
              <w:t>　</w:t>
            </w:r>
          </w:p>
          <w:p>
            <w:pPr>
              <w:spacing w:line="520" w:lineRule="exact"/>
              <w:rPr>
                <w:rFonts w:ascii="仿宋" w:hAnsi="仿宋" w:eastAsia="仿宋" w:cs="楷体"/>
                <w:sz w:val="32"/>
                <w:szCs w:val="32"/>
              </w:rPr>
            </w:pPr>
            <w:r>
              <w:rPr>
                <w:rFonts w:hint="eastAsia" w:ascii="仿宋" w:hAnsi="仿宋" w:eastAsia="仿宋" w:cs="楷体"/>
                <w:sz w:val="32"/>
                <w:szCs w:val="32"/>
              </w:rPr>
              <w:t>本部门本次绩效自评严格按照</w:t>
            </w:r>
            <w:r>
              <w:rPr>
                <w:rFonts w:hint="eastAsia" w:ascii="仿宋" w:hAnsi="仿宋" w:eastAsia="仿宋" w:cs="楷体"/>
                <w:sz w:val="32"/>
                <w:szCs w:val="32"/>
                <w:lang w:eastAsia="zh-CN"/>
              </w:rPr>
              <w:t>相关</w:t>
            </w:r>
            <w:r>
              <w:rPr>
                <w:rFonts w:hint="eastAsia" w:ascii="仿宋" w:hAnsi="仿宋" w:eastAsia="仿宋" w:cs="楷体"/>
                <w:sz w:val="32"/>
                <w:szCs w:val="32"/>
              </w:rPr>
              <w:t>已完工项目绩效自评工作的</w:t>
            </w:r>
            <w:r>
              <w:rPr>
                <w:rFonts w:hint="eastAsia" w:ascii="仿宋" w:hAnsi="仿宋" w:eastAsia="仿宋" w:cs="楷体"/>
                <w:sz w:val="32"/>
                <w:szCs w:val="32"/>
                <w:lang w:eastAsia="zh-CN"/>
              </w:rPr>
              <w:t>要求</w:t>
            </w:r>
            <w:r>
              <w:rPr>
                <w:rFonts w:hint="eastAsia" w:ascii="仿宋" w:hAnsi="仿宋" w:eastAsia="仿宋" w:cs="楷体"/>
                <w:sz w:val="32"/>
                <w:szCs w:val="32"/>
              </w:rPr>
              <w:t>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r>
              <w:rPr>
                <w:rFonts w:hint="eastAsia" w:ascii="楷体" w:hAnsi="楷体" w:eastAsia="楷体" w:cs="楷体"/>
                <w:sz w:val="30"/>
                <w:szCs w:val="30"/>
              </w:rPr>
              <w:t>说明：综合汇总各项目单位的情况，反映项目资金分配使用管理和项目绩效方面存在的问题并深入分析，提出相应的改进措施和建议。</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val="en-US" w:eastAsia="zh-CN"/>
        </w:rPr>
        <w:t>张映梅</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项目支出负责人：</w:t>
      </w:r>
      <w:r>
        <w:rPr>
          <w:rFonts w:hint="eastAsia" w:ascii="楷体" w:hAnsi="楷体" w:eastAsia="楷体" w:cs="楷体"/>
          <w:sz w:val="32"/>
          <w:szCs w:val="32"/>
          <w:lang w:val="en-US" w:eastAsia="zh-CN"/>
        </w:rPr>
        <w:t>郑小娟</w:t>
      </w:r>
      <w:r>
        <w:rPr>
          <w:rFonts w:hint="eastAsia" w:ascii="楷体" w:hAnsi="楷体" w:eastAsia="楷体" w:cs="楷体"/>
          <w:sz w:val="32"/>
          <w:szCs w:val="32"/>
        </w:rPr>
        <w:t>　　　</w:t>
      </w:r>
    </w:p>
    <w:p>
      <w:pPr>
        <w:spacing w:line="480" w:lineRule="exact"/>
        <w:rPr>
          <w:rFonts w:hint="default" w:eastAsia="楷体"/>
          <w:lang w:val="en-US" w:eastAsia="zh-CN"/>
        </w:rPr>
      </w:pPr>
      <w:r>
        <w:rPr>
          <w:rFonts w:hint="eastAsia" w:ascii="楷体" w:hAnsi="楷体" w:eastAsia="楷体" w:cs="楷体"/>
          <w:sz w:val="32"/>
          <w:szCs w:val="32"/>
        </w:rPr>
        <w:t>评价负责人：</w:t>
      </w:r>
      <w:r>
        <w:rPr>
          <w:rFonts w:hint="eastAsia" w:ascii="楷体" w:hAnsi="楷体" w:eastAsia="楷体" w:cs="楷体"/>
          <w:sz w:val="32"/>
          <w:szCs w:val="32"/>
          <w:lang w:val="en-US" w:eastAsia="zh-CN"/>
        </w:rPr>
        <w:t>胡刚</w:t>
      </w:r>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5</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FjNmYxYWYzZTcyZmE5NDlhNjAxZDZiMzQwOGUzN2MifQ=="/>
  </w:docVars>
  <w:rsids>
    <w:rsidRoot w:val="0089116D"/>
    <w:rsid w:val="00027480"/>
    <w:rsid w:val="0002778D"/>
    <w:rsid w:val="000456A4"/>
    <w:rsid w:val="000B1ED6"/>
    <w:rsid w:val="000B2627"/>
    <w:rsid w:val="000D3C02"/>
    <w:rsid w:val="000F02B3"/>
    <w:rsid w:val="001317BA"/>
    <w:rsid w:val="00180692"/>
    <w:rsid w:val="00195C3E"/>
    <w:rsid w:val="001B3EB8"/>
    <w:rsid w:val="001F62A8"/>
    <w:rsid w:val="0024071A"/>
    <w:rsid w:val="00277772"/>
    <w:rsid w:val="002A7D15"/>
    <w:rsid w:val="002C3F93"/>
    <w:rsid w:val="002C6A0C"/>
    <w:rsid w:val="002E5924"/>
    <w:rsid w:val="00304854"/>
    <w:rsid w:val="0037119E"/>
    <w:rsid w:val="0037519D"/>
    <w:rsid w:val="003F5783"/>
    <w:rsid w:val="00416ACA"/>
    <w:rsid w:val="00470261"/>
    <w:rsid w:val="004C1906"/>
    <w:rsid w:val="004C322C"/>
    <w:rsid w:val="004D12B3"/>
    <w:rsid w:val="004E58A8"/>
    <w:rsid w:val="00521601"/>
    <w:rsid w:val="0054332D"/>
    <w:rsid w:val="005E3023"/>
    <w:rsid w:val="00627398"/>
    <w:rsid w:val="00667216"/>
    <w:rsid w:val="00680987"/>
    <w:rsid w:val="006913B2"/>
    <w:rsid w:val="006C4B32"/>
    <w:rsid w:val="00707E0E"/>
    <w:rsid w:val="0073036E"/>
    <w:rsid w:val="00732869"/>
    <w:rsid w:val="007C0D95"/>
    <w:rsid w:val="007D4283"/>
    <w:rsid w:val="00827F35"/>
    <w:rsid w:val="0089116D"/>
    <w:rsid w:val="008A3F74"/>
    <w:rsid w:val="008E31CD"/>
    <w:rsid w:val="00947F94"/>
    <w:rsid w:val="00980102"/>
    <w:rsid w:val="009D0423"/>
    <w:rsid w:val="009F714A"/>
    <w:rsid w:val="00A12A6C"/>
    <w:rsid w:val="00A163F9"/>
    <w:rsid w:val="00A54A31"/>
    <w:rsid w:val="00A84CE4"/>
    <w:rsid w:val="00AF3822"/>
    <w:rsid w:val="00B03F74"/>
    <w:rsid w:val="00B071E3"/>
    <w:rsid w:val="00B23AF1"/>
    <w:rsid w:val="00B319FE"/>
    <w:rsid w:val="00B44454"/>
    <w:rsid w:val="00B50AB4"/>
    <w:rsid w:val="00B61CC6"/>
    <w:rsid w:val="00BC01BB"/>
    <w:rsid w:val="00BF31DF"/>
    <w:rsid w:val="00C24E3E"/>
    <w:rsid w:val="00C377AB"/>
    <w:rsid w:val="00C70E9B"/>
    <w:rsid w:val="00C71E76"/>
    <w:rsid w:val="00C745D1"/>
    <w:rsid w:val="00CA11D7"/>
    <w:rsid w:val="00CA7E8F"/>
    <w:rsid w:val="00CF606B"/>
    <w:rsid w:val="00D2155D"/>
    <w:rsid w:val="00D35AC8"/>
    <w:rsid w:val="00DA00FE"/>
    <w:rsid w:val="00DC0955"/>
    <w:rsid w:val="00DC7753"/>
    <w:rsid w:val="00DE15F5"/>
    <w:rsid w:val="00DE72EA"/>
    <w:rsid w:val="00DF7B21"/>
    <w:rsid w:val="00E04FF5"/>
    <w:rsid w:val="00E12F5D"/>
    <w:rsid w:val="00E2562C"/>
    <w:rsid w:val="00E43173"/>
    <w:rsid w:val="00E62ED0"/>
    <w:rsid w:val="00E90B33"/>
    <w:rsid w:val="00EB21DE"/>
    <w:rsid w:val="00EF380E"/>
    <w:rsid w:val="00F17888"/>
    <w:rsid w:val="00F32EE8"/>
    <w:rsid w:val="00F716DA"/>
    <w:rsid w:val="00FE363D"/>
    <w:rsid w:val="02E66ED9"/>
    <w:rsid w:val="09A25BC8"/>
    <w:rsid w:val="0A400DB1"/>
    <w:rsid w:val="0F811861"/>
    <w:rsid w:val="122E21F7"/>
    <w:rsid w:val="184859DC"/>
    <w:rsid w:val="2B3625B5"/>
    <w:rsid w:val="315B4602"/>
    <w:rsid w:val="35BA6629"/>
    <w:rsid w:val="3790261F"/>
    <w:rsid w:val="37E94CEE"/>
    <w:rsid w:val="38B34B32"/>
    <w:rsid w:val="38F53ECF"/>
    <w:rsid w:val="404D5359"/>
    <w:rsid w:val="463F3349"/>
    <w:rsid w:val="493E4956"/>
    <w:rsid w:val="4C9C51D7"/>
    <w:rsid w:val="4DD01F2C"/>
    <w:rsid w:val="4E055C01"/>
    <w:rsid w:val="4F927292"/>
    <w:rsid w:val="55583898"/>
    <w:rsid w:val="577067F8"/>
    <w:rsid w:val="578C6A0F"/>
    <w:rsid w:val="596B393A"/>
    <w:rsid w:val="59BF2347"/>
    <w:rsid w:val="5C1376B1"/>
    <w:rsid w:val="5CF53A3C"/>
    <w:rsid w:val="5D2F948E"/>
    <w:rsid w:val="603B3733"/>
    <w:rsid w:val="60FE38E3"/>
    <w:rsid w:val="61773296"/>
    <w:rsid w:val="630A642E"/>
    <w:rsid w:val="654A4C44"/>
    <w:rsid w:val="686F3B42"/>
    <w:rsid w:val="68851984"/>
    <w:rsid w:val="6F912D2D"/>
    <w:rsid w:val="705A49A7"/>
    <w:rsid w:val="732F61DA"/>
    <w:rsid w:val="76C018C2"/>
    <w:rsid w:val="795906D8"/>
    <w:rsid w:val="7F6C9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1262</Words>
  <Characters>1296</Characters>
  <Lines>24</Lines>
  <Paragraphs>6</Paragraphs>
  <TotalTime>153</TotalTime>
  <ScaleCrop>false</ScaleCrop>
  <LinksUpToDate>false</LinksUpToDate>
  <CharactersWithSpaces>1474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2018-03-06T01:02:00Z</dcterms:created>
  <dc:creator>李兰</dc:creator>
  <cp:lastModifiedBy>admin</cp:lastModifiedBy>
  <cp:lastPrinted>2021-06-15T23:55:00Z</cp:lastPrinted>
  <dcterms:modified xsi:type="dcterms:W3CDTF">2022-09-30T16:16:46Z</dcterms:modified>
  <dc:title>邵 阳 市 财 政 局 文 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224C80C3CFDF4195BD9A7467A4777DFA</vt:lpwstr>
  </property>
</Properties>
</file>