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邵阳市文旅广体局</w:t>
      </w:r>
      <w:r>
        <w:rPr>
          <w:rFonts w:hint="eastAsia" w:ascii="楷体" w:hAnsi="楷体" w:eastAsia="楷体" w:cs="楷体"/>
          <w:sz w:val="32"/>
          <w:szCs w:val="32"/>
        </w:rPr>
        <w:t>　　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2022年9月16日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 w:val="28"/>
              </w:rPr>
            </w:pP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统计工作、培训、会议经费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对全年的行业统计工作进行统筹安排，对从事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统计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工作干部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进行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统计培训指导，全面提升各县市区统计人员专业素质和业务能力。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邵阳市文化旅游广电体育局</w:t>
            </w:r>
            <w:r>
              <w:rPr>
                <w:rFonts w:hint="eastAsia" w:ascii="楷体" w:hAnsi="楷体" w:eastAsia="楷体" w:cs="楷体"/>
                <w:sz w:val="28"/>
              </w:rPr>
              <w:t>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刘金雄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default" w:ascii="楷体" w:hAnsi="楷体" w:eastAsia="楷体" w:cs="楷体"/>
                <w:sz w:val="24"/>
                <w:lang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default" w:ascii="楷体" w:hAnsi="楷体" w:eastAsia="楷体" w:cs="楷体"/>
                <w:sz w:val="24"/>
                <w:lang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《统计法》《文化和旅游统计管理办法》《湖南省文化和旅游厅关于做好2022年度全省文化和旅游统计工作的通知》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8"/>
              </w:rPr>
              <w:t>万元      实际采购金额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2.91</w:t>
            </w:r>
            <w:r>
              <w:rPr>
                <w:rFonts w:hint="eastAsia" w:ascii="楷体" w:hAnsi="楷体" w:eastAsia="楷体" w:cs="楷体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default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  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《统计法》</w:t>
            </w:r>
            <w:r>
              <w:rPr>
                <w:rFonts w:hint="eastAsia" w:ascii="楷体" w:hAnsi="楷体" w:eastAsia="楷体" w:cs="楷体"/>
                <w:sz w:val="28"/>
              </w:rPr>
              <w:t>《文化和旅游统计管理办法》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ind w:firstLine="120" w:firstLineChars="50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方案报局党组审核后实施</w:t>
            </w:r>
            <w:r>
              <w:rPr>
                <w:rFonts w:hint="eastAsia" w:ascii="楷体" w:hAnsi="楷体" w:eastAsia="楷体" w:cs="楷体"/>
                <w:sz w:val="24"/>
              </w:rPr>
              <w:t>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专项经费未做其他用途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验收合格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无虚列支出、截留挤占挪用、超标准开支、无超预算等。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专项资金管理办法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</w:t>
            </w:r>
          </w:p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lang w:eastAsia="zh-CN"/>
              </w:rPr>
              <w:t>2.91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lang w:eastAsia="zh-CN"/>
              </w:rPr>
              <w:t>2.91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1.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对从事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统计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工作干部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进行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统计培训指导，全面提升各县市区统计人员专业素质和业务能力。</w:t>
            </w:r>
          </w:p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2.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及时高效报送文化和旅游统计数据。</w:t>
            </w:r>
          </w:p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3.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加强文化和旅游统计年报和季度数据报送，及时撰写半年、全年旅游经济运行情况分析报告。</w:t>
            </w:r>
          </w:p>
          <w:p>
            <w:pPr>
              <w:ind w:firstLine="560" w:firstLineChars="200"/>
              <w:rPr>
                <w:rFonts w:hint="eastAsia" w:ascii="楷体" w:hAnsi="楷体" w:eastAsia="仿宋" w:cs="楷体"/>
                <w:sz w:val="30"/>
                <w:szCs w:val="30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4.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认真做好假日旅游统计，及时报送假日旅游统计数据，撰写假期旅游情况综述，分析旅游市场特色亮点。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560" w:firstLineChars="200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为上级今后制定发展规划和有关政策提供参考和数据支持。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资金分配由部门提出，党组研究，财务按要求严格把关。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本部门本次绩效自评严格按照相关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已完工项目绩效自评工作的要求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组织实施。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</w:p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说明：综合汇总各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单位的情况，反映项目资金分配使用管理和项目绩效方面存在的问题并深入分析，提出相应的改进措施和建议。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61F22AF"/>
    <w:rsid w:val="0A400DB1"/>
    <w:rsid w:val="0F811861"/>
    <w:rsid w:val="2B3625B5"/>
    <w:rsid w:val="30CB30F0"/>
    <w:rsid w:val="315B4602"/>
    <w:rsid w:val="3790261F"/>
    <w:rsid w:val="37E94CEE"/>
    <w:rsid w:val="38B34B32"/>
    <w:rsid w:val="38F53ECF"/>
    <w:rsid w:val="3DD77399"/>
    <w:rsid w:val="3EF7574A"/>
    <w:rsid w:val="404D5359"/>
    <w:rsid w:val="463F3349"/>
    <w:rsid w:val="4C9C51D7"/>
    <w:rsid w:val="4DD01F2C"/>
    <w:rsid w:val="4E055C01"/>
    <w:rsid w:val="4F927292"/>
    <w:rsid w:val="533A1F1C"/>
    <w:rsid w:val="577067F8"/>
    <w:rsid w:val="596B393A"/>
    <w:rsid w:val="59BF2347"/>
    <w:rsid w:val="5C1376B1"/>
    <w:rsid w:val="5CF53A3C"/>
    <w:rsid w:val="603B3733"/>
    <w:rsid w:val="61773296"/>
    <w:rsid w:val="630A642E"/>
    <w:rsid w:val="654A4C44"/>
    <w:rsid w:val="686F3B42"/>
    <w:rsid w:val="68851984"/>
    <w:rsid w:val="6F912D2D"/>
    <w:rsid w:val="6FAA3960"/>
    <w:rsid w:val="705A49A7"/>
    <w:rsid w:val="732F61DA"/>
    <w:rsid w:val="76C018C2"/>
    <w:rsid w:val="795906D8"/>
    <w:rsid w:val="7B7BA69B"/>
    <w:rsid w:val="7FFD5233"/>
    <w:rsid w:val="ADF7A9F9"/>
    <w:rsid w:val="EEE5A83C"/>
    <w:rsid w:val="FFECD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2</TotalTime>
  <ScaleCrop>false</ScaleCrop>
  <LinksUpToDate>false</LinksUpToDate>
  <CharactersWithSpaces>6002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2018-03-07T01:02:00Z</dcterms:created>
  <dc:creator>李兰</dc:creator>
  <cp:lastModifiedBy>admin</cp:lastModifiedBy>
  <cp:lastPrinted>2021-06-18T01:10:00Z</cp:lastPrinted>
  <dcterms:modified xsi:type="dcterms:W3CDTF">2022-09-30T10:41:29Z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0FAD80D570F146F1A12397DBE9C54DAD</vt:lpwstr>
  </property>
</Properties>
</file>