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77"/>
        <w:gridCol w:w="2216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武术进校园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全市共有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100余所学校参与“国学武术进校园”的体育项目。每班每周安排2节课进行教学，基本实现了“每个学生掌握二套以上武术健身方法”“精神气魄得到有效提升”的教学目的。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曾克平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44" w:type="dxa"/>
            <w:gridSpan w:val="2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8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44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4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16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仿宋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  <w:t>我市三所学校通过参加武术协会组织的武术进校园线海选，获得参加线下省第五届武术进校园比赛资格。</w:t>
            </w:r>
            <w:r>
              <w:rPr>
                <w:rFonts w:hint="eastAsia" w:ascii="楷体" w:hAnsi="楷体" w:eastAsia="仿宋" w:cs="楷体"/>
                <w:sz w:val="30"/>
                <w:szCs w:val="30"/>
                <w:lang w:val="en-US" w:eastAsia="zh-CN"/>
              </w:rPr>
              <w:t>2022年10月份将组织第四届全市校园武术大赛，预计参赛队伍将达到50支。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进一步规范财务管理，提升管理水平，促进文旅广体事业持续健康发展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bookmarkStart w:id="0" w:name="_GoBack"/>
            <w:bookmarkEnd w:id="0"/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3EEE3FB3"/>
    <w:rsid w:val="3EF7574A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C1376B1"/>
    <w:rsid w:val="5CF53A3C"/>
    <w:rsid w:val="5E4F9003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32F61DA"/>
    <w:rsid w:val="76C018C2"/>
    <w:rsid w:val="77C75A00"/>
    <w:rsid w:val="795906D8"/>
    <w:rsid w:val="79FB637B"/>
    <w:rsid w:val="7D3FD27A"/>
    <w:rsid w:val="7FAEBA3A"/>
    <w:rsid w:val="FF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2018-03-07T09:02:00Z</dcterms:created>
  <dc:creator>李兰</dc:creator>
  <cp:lastModifiedBy>admin</cp:lastModifiedBy>
  <cp:lastPrinted>2021-06-18T09:10:00Z</cp:lastPrinted>
  <dcterms:modified xsi:type="dcterms:W3CDTF">2022-09-30T17:24:13Z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